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3C686092"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2D2678">
        <w:rPr>
          <w:rFonts w:cs="Arial"/>
          <w:sz w:val="24"/>
          <w:szCs w:val="24"/>
        </w:rPr>
        <w:t>4</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B21D0E" w:rsidRPr="00B21D0E">
        <w:t xml:space="preserve"> </w:t>
      </w:r>
      <w:r w:rsidR="00D12925" w:rsidRPr="00D12925">
        <w:rPr>
          <w:rFonts w:cs="Arial"/>
          <w:sz w:val="24"/>
          <w:szCs w:val="24"/>
        </w:rPr>
        <w:t>2211617</w:t>
      </w:r>
    </w:p>
    <w:p w14:paraId="476F0781" w14:textId="0B10A73F" w:rsidR="008428F3" w:rsidRPr="008428F3" w:rsidRDefault="008C0E0C" w:rsidP="008428F3">
      <w:pPr>
        <w:pStyle w:val="Header"/>
        <w:tabs>
          <w:tab w:val="right" w:pos="9781"/>
          <w:tab w:val="right" w:pos="13323"/>
        </w:tabs>
        <w:outlineLvl w:val="0"/>
        <w:rPr>
          <w:rFonts w:eastAsia="SimSun" w:cs="Arial"/>
          <w:lang w:eastAsia="zh-CN"/>
        </w:rPr>
      </w:pPr>
      <w:r>
        <w:rPr>
          <w:rFonts w:eastAsia="SimSun" w:cs="Arial"/>
          <w:sz w:val="24"/>
          <w:szCs w:val="24"/>
          <w:lang w:eastAsia="zh-CN"/>
        </w:rPr>
        <w:t xml:space="preserve">Electronic Meeting, </w:t>
      </w:r>
      <w:r w:rsidR="008428F3" w:rsidRPr="008428F3">
        <w:rPr>
          <w:rFonts w:cs="Arial"/>
          <w:sz w:val="24"/>
          <w:szCs w:val="24"/>
        </w:rPr>
        <w:t xml:space="preserve"> </w:t>
      </w:r>
      <w:r w:rsidR="001527BF" w:rsidRPr="001527BF">
        <w:rPr>
          <w:rFonts w:cs="Arial" w:hint="eastAsia"/>
          <w:bCs/>
          <w:sz w:val="24"/>
          <w:szCs w:val="24"/>
          <w:lang w:val="en-GB"/>
        </w:rPr>
        <w:t>August 15</w:t>
      </w:r>
      <w:r w:rsidR="001527BF" w:rsidRPr="001527BF">
        <w:rPr>
          <w:rFonts w:cs="Arial" w:hint="eastAsia"/>
          <w:bCs/>
          <w:sz w:val="24"/>
          <w:szCs w:val="24"/>
          <w:vertAlign w:val="superscript"/>
          <w:lang w:val="en-GB"/>
        </w:rPr>
        <w:t>th</w:t>
      </w:r>
      <w:r w:rsidR="001527BF" w:rsidRPr="001527BF">
        <w:rPr>
          <w:rFonts w:cs="Arial" w:hint="eastAsia"/>
          <w:bCs/>
          <w:sz w:val="24"/>
          <w:szCs w:val="24"/>
          <w:lang w:val="en-GB"/>
        </w:rPr>
        <w:t xml:space="preserve"> </w:t>
      </w:r>
      <w:r w:rsidR="001527BF" w:rsidRPr="001527BF">
        <w:rPr>
          <w:rFonts w:cs="Arial" w:hint="eastAsia"/>
          <w:bCs/>
          <w:sz w:val="24"/>
          <w:szCs w:val="24"/>
          <w:lang w:val="en-GB"/>
        </w:rPr>
        <w:t>–</w:t>
      </w:r>
      <w:r w:rsidR="001527BF" w:rsidRPr="001527BF">
        <w:rPr>
          <w:rFonts w:cs="Arial" w:hint="eastAsia"/>
          <w:bCs/>
          <w:sz w:val="24"/>
          <w:szCs w:val="24"/>
          <w:lang w:val="en-GB"/>
        </w:rPr>
        <w:t xml:space="preserve"> August 26</w:t>
      </w:r>
      <w:r w:rsidR="001527BF" w:rsidRPr="001527BF">
        <w:rPr>
          <w:rFonts w:cs="Arial" w:hint="eastAsia"/>
          <w:bCs/>
          <w:sz w:val="24"/>
          <w:szCs w:val="24"/>
          <w:vertAlign w:val="superscript"/>
          <w:lang w:val="en-GB"/>
        </w:rPr>
        <w:t>th</w:t>
      </w:r>
      <w:r w:rsidR="00330988" w:rsidRPr="008428F3">
        <w:rPr>
          <w:rFonts w:cs="Arial"/>
          <w:sz w:val="24"/>
          <w:szCs w:val="24"/>
        </w:rPr>
        <w:t>, 2022</w:t>
      </w:r>
    </w:p>
    <w:p w14:paraId="52C0C4AA" w14:textId="7C64FB53"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353C9D">
        <w:rPr>
          <w:rFonts w:ascii="Arial" w:hAnsi="Arial" w:cs="Arial"/>
          <w:b/>
          <w:noProof/>
          <w:sz w:val="24"/>
          <w:szCs w:val="24"/>
          <w:lang w:val="en-US" w:eastAsia="en-US"/>
        </w:rPr>
        <w:t>9.</w:t>
      </w:r>
      <w:r w:rsidR="00D07502">
        <w:rPr>
          <w:rFonts w:ascii="Arial" w:hAnsi="Arial" w:cs="Arial"/>
          <w:b/>
          <w:noProof/>
          <w:sz w:val="24"/>
          <w:szCs w:val="24"/>
          <w:lang w:val="en-US" w:eastAsia="en-US"/>
        </w:rPr>
        <w:t>9.1.3</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15530083"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3541A1" w:rsidRPr="003541A1">
        <w:rPr>
          <w:rFonts w:ascii="Arial" w:hAnsi="Arial"/>
          <w:bCs/>
          <w:noProof/>
          <w:sz w:val="24"/>
          <w:lang w:val="en-US" w:eastAsia="en-US"/>
        </w:rPr>
        <w:t>Open issue in RRM core requirement for NCSG</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7D3AC23E" w14:textId="3693E127" w:rsidR="003B0F2D" w:rsidRDefault="00071E9F" w:rsidP="0044036E">
      <w:pPr>
        <w:jc w:val="both"/>
        <w:rPr>
          <w:lang w:eastAsia="en-US"/>
        </w:rPr>
      </w:pPr>
      <w:r>
        <w:rPr>
          <w:lang w:eastAsia="en-US"/>
        </w:rPr>
        <w:t xml:space="preserve">In this paper we </w:t>
      </w:r>
      <w:r w:rsidR="00ED0D6C">
        <w:rPr>
          <w:lang w:eastAsia="en-US"/>
        </w:rPr>
        <w:t xml:space="preserve">are discussing about the </w:t>
      </w:r>
      <w:r w:rsidR="001527BF">
        <w:rPr>
          <w:lang w:eastAsia="en-US"/>
        </w:rPr>
        <w:t>RRM requirements</w:t>
      </w:r>
      <w:r w:rsidR="00ED0D6C">
        <w:rPr>
          <w:lang w:eastAsia="en-US"/>
        </w:rPr>
        <w:t xml:space="preserve"> for </w:t>
      </w:r>
      <w:r w:rsidR="00825E30">
        <w:rPr>
          <w:lang w:eastAsia="en-US"/>
        </w:rPr>
        <w:t>NCSG.</w:t>
      </w:r>
    </w:p>
    <w:p w14:paraId="5D6EEB50" w14:textId="6DE411DE" w:rsidR="00FC130E" w:rsidRDefault="000A567D" w:rsidP="00010DC6">
      <w:pPr>
        <w:pStyle w:val="Heading1"/>
      </w:pPr>
      <w:r>
        <w:t xml:space="preserve">2. </w:t>
      </w:r>
      <w:r>
        <w:tab/>
      </w:r>
      <w:r w:rsidR="002A1C01">
        <w:t>Discussion</w:t>
      </w:r>
    </w:p>
    <w:p w14:paraId="65E27109" w14:textId="7BAD16CA" w:rsidR="00262FF4" w:rsidRDefault="00262FF4" w:rsidP="00262FF4">
      <w:pPr>
        <w:spacing w:after="120" w:line="259" w:lineRule="auto"/>
        <w:rPr>
          <w:rFonts w:ascii="Calibri" w:hAnsi="Calibri" w:cs="Calibri"/>
          <w:bCs/>
          <w:iCs/>
          <w:color w:val="000000"/>
        </w:rPr>
      </w:pPr>
      <w:r>
        <w:rPr>
          <w:rFonts w:ascii="Calibri" w:hAnsi="Calibri" w:cs="Calibri"/>
          <w:b/>
          <w:bCs/>
          <w:iCs/>
          <w:u w:val="single"/>
        </w:rPr>
        <w:t>Issue: impact on inter-frequency cell identification</w:t>
      </w:r>
    </w:p>
    <w:tbl>
      <w:tblPr>
        <w:tblStyle w:val="TableGrid"/>
        <w:tblW w:w="0" w:type="auto"/>
        <w:tblLook w:val="04A0" w:firstRow="1" w:lastRow="0" w:firstColumn="1" w:lastColumn="0" w:noHBand="0" w:noVBand="1"/>
      </w:tblPr>
      <w:tblGrid>
        <w:gridCol w:w="9622"/>
      </w:tblGrid>
      <w:tr w:rsidR="00F370A9" w14:paraId="1A1EE7D4" w14:textId="77777777" w:rsidTr="00F370A9">
        <w:tc>
          <w:tcPr>
            <w:tcW w:w="9622" w:type="dxa"/>
          </w:tcPr>
          <w:p w14:paraId="0644931E" w14:textId="7CA22692" w:rsidR="00262FF4" w:rsidRDefault="00262FF4" w:rsidP="00262FF4">
            <w:pPr>
              <w:spacing w:after="120" w:line="259" w:lineRule="auto"/>
              <w:rPr>
                <w:rFonts w:ascii="Calibri" w:hAnsi="Calibri" w:cs="Calibri"/>
                <w:bCs/>
                <w:iCs/>
                <w:color w:val="000000"/>
              </w:rPr>
            </w:pPr>
            <w:bookmarkStart w:id="3" w:name="_Hlk103546246"/>
            <w:r>
              <w:rPr>
                <w:rFonts w:ascii="Calibri" w:hAnsi="Calibri" w:cs="Calibri"/>
                <w:bCs/>
                <w:iCs/>
                <w:color w:val="000000"/>
              </w:rPr>
              <w:t>&lt;RAN4 103-e discussions</w:t>
            </w:r>
            <w:r w:rsidR="00D71B6B">
              <w:rPr>
                <w:rFonts w:ascii="Calibri" w:hAnsi="Calibri" w:cs="Calibri"/>
                <w:bCs/>
                <w:iCs/>
                <w:color w:val="000000"/>
              </w:rPr>
              <w:t xml:space="preserve"> </w:t>
            </w:r>
            <w:r>
              <w:rPr>
                <w:rFonts w:ascii="Calibri" w:hAnsi="Calibri" w:cs="Calibri"/>
                <w:bCs/>
                <w:iCs/>
                <w:color w:val="000000"/>
              </w:rPr>
              <w:t>&gt;</w:t>
            </w:r>
          </w:p>
          <w:p w14:paraId="60C5E611" w14:textId="3F6E51CA" w:rsidR="00F370A9" w:rsidRDefault="00F370A9" w:rsidP="00F370A9">
            <w:pPr>
              <w:numPr>
                <w:ilvl w:val="0"/>
                <w:numId w:val="38"/>
              </w:numPr>
              <w:spacing w:after="120" w:line="259" w:lineRule="auto"/>
              <w:ind w:hanging="432"/>
              <w:rPr>
                <w:rFonts w:ascii="Calibri" w:hAnsi="Calibri" w:cs="Calibri"/>
                <w:bCs/>
                <w:iCs/>
                <w:color w:val="000000"/>
              </w:rPr>
            </w:pPr>
            <w:r>
              <w:rPr>
                <w:rFonts w:ascii="Calibri" w:hAnsi="Calibri" w:cs="Calibri"/>
                <w:bCs/>
                <w:iCs/>
                <w:color w:val="000000"/>
              </w:rPr>
              <w:t xml:space="preserve">Option 1: introduce a new optional UE capability for UE supporting NCSG indicating the support of </w:t>
            </w:r>
            <w:r>
              <w:rPr>
                <w:rFonts w:ascii="Calibri" w:hAnsi="Calibri" w:cs="Calibri"/>
                <w:i/>
                <w:iCs/>
                <w:color w:val="000000"/>
              </w:rPr>
              <w:t>deriveSSB-IndexFromCell-inter</w:t>
            </w:r>
            <w:r>
              <w:rPr>
                <w:rFonts w:ascii="Calibri" w:hAnsi="Calibri" w:cs="Calibri"/>
                <w:bCs/>
                <w:iCs/>
                <w:color w:val="000000"/>
              </w:rPr>
              <w:t>., and it implies that when deriveSSB-IndexFromCell-inter is enabled, (1) Tidentify_inter_without_index is applicable to UE (2) UE is capable of serving cell communication within SMTC based on the agreed scheduling restriction associated with deriveSSB-IndexFromCell-inter</w:t>
            </w:r>
          </w:p>
          <w:p w14:paraId="4755BE32" w14:textId="77777777" w:rsidR="00262FF4" w:rsidRDefault="00F370A9" w:rsidP="00262FF4">
            <w:pPr>
              <w:numPr>
                <w:ilvl w:val="0"/>
                <w:numId w:val="38"/>
              </w:numPr>
              <w:spacing w:after="120" w:line="259" w:lineRule="auto"/>
              <w:ind w:hanging="432"/>
              <w:rPr>
                <w:rFonts w:ascii="Calibri" w:hAnsi="Calibri" w:cs="Calibri"/>
                <w:bCs/>
                <w:iCs/>
                <w:color w:val="000000"/>
              </w:rPr>
            </w:pPr>
            <w:r>
              <w:rPr>
                <w:rFonts w:ascii="Calibri" w:hAnsi="Calibri" w:cs="Calibri"/>
                <w:bCs/>
                <w:iCs/>
                <w:color w:val="000000"/>
              </w:rPr>
              <w:t xml:space="preserve">Option 2: introduce a new optional UE capability for UE supporting NCSG indicating the support of </w:t>
            </w:r>
            <w:r>
              <w:rPr>
                <w:rFonts w:ascii="Calibri" w:hAnsi="Calibri" w:cs="Calibri"/>
                <w:i/>
                <w:iCs/>
                <w:color w:val="000000"/>
              </w:rPr>
              <w:t>deriveSSB-IndexFromCell-inter</w:t>
            </w:r>
            <w:r>
              <w:rPr>
                <w:rFonts w:ascii="Calibri" w:hAnsi="Calibri" w:cs="Calibri"/>
                <w:bCs/>
                <w:iCs/>
                <w:color w:val="000000"/>
              </w:rPr>
              <w:t>., and it implies that when deriveSSB-IndexFromCell-inter is enabled, UE is capable of serving cell communication within SMTC based on the agreed scheduling restriction associated with deriveSSB-IndexFromCell-inter</w:t>
            </w:r>
          </w:p>
          <w:p w14:paraId="6E401257" w14:textId="190747AF" w:rsidR="00F370A9" w:rsidRPr="00262FF4" w:rsidRDefault="00F370A9" w:rsidP="00262FF4">
            <w:pPr>
              <w:numPr>
                <w:ilvl w:val="0"/>
                <w:numId w:val="38"/>
              </w:numPr>
              <w:spacing w:after="120" w:line="259" w:lineRule="auto"/>
              <w:ind w:hanging="432"/>
              <w:rPr>
                <w:rFonts w:ascii="Calibri" w:hAnsi="Calibri" w:cs="Calibri"/>
                <w:bCs/>
                <w:iCs/>
                <w:color w:val="000000"/>
              </w:rPr>
            </w:pPr>
            <w:r w:rsidRPr="00262FF4">
              <w:rPr>
                <w:rFonts w:ascii="Calibri" w:hAnsi="Calibri" w:cs="Calibri"/>
                <w:bCs/>
                <w:iCs/>
                <w:color w:val="000000"/>
              </w:rPr>
              <w:t xml:space="preserve">Option 3: no new UE capability for serving cell communication within SMTC in FR2 and Tidentify_inter_without_index applicability, and </w:t>
            </w:r>
            <w:r w:rsidRPr="00262FF4">
              <w:rPr>
                <w:rFonts w:ascii="Calibri" w:hAnsi="Calibri" w:cs="Calibri"/>
                <w:bCs/>
                <w:i/>
                <w:color w:val="000000"/>
              </w:rPr>
              <w:t>deriveSSB-IndexFromCell-inter</w:t>
            </w:r>
            <w:r w:rsidRPr="00262FF4">
              <w:rPr>
                <w:rFonts w:ascii="Calibri" w:hAnsi="Calibri" w:cs="Calibri"/>
                <w:bCs/>
                <w:iCs/>
                <w:color w:val="000000"/>
              </w:rPr>
              <w:t xml:space="preserve"> only applies to NCSG capable UE.</w:t>
            </w:r>
          </w:p>
          <w:bookmarkEnd w:id="3"/>
          <w:p w14:paraId="30BE931F" w14:textId="77777777" w:rsidR="00F370A9" w:rsidRDefault="00F370A9" w:rsidP="00022CEC">
            <w:pPr>
              <w:rPr>
                <w:lang w:eastAsia="en-US"/>
              </w:rPr>
            </w:pPr>
          </w:p>
        </w:tc>
      </w:tr>
    </w:tbl>
    <w:p w14:paraId="7370FE50" w14:textId="6B7F8AEF" w:rsidR="00997405" w:rsidRDefault="00F370A9" w:rsidP="00022CEC">
      <w:pPr>
        <w:rPr>
          <w:lang w:eastAsia="en-US"/>
        </w:rPr>
      </w:pPr>
      <w:r>
        <w:rPr>
          <w:lang w:eastAsia="en-US"/>
        </w:rPr>
        <w:t>In the previo</w:t>
      </w:r>
      <w:r w:rsidR="00F25250">
        <w:rPr>
          <w:lang w:eastAsia="en-US"/>
        </w:rPr>
        <w:t>us RAN4</w:t>
      </w:r>
      <w:r w:rsidR="00362C53">
        <w:rPr>
          <w:lang w:eastAsia="en-US"/>
        </w:rPr>
        <w:t xml:space="preserve"> </w:t>
      </w:r>
      <w:r w:rsidR="00F25250">
        <w:rPr>
          <w:lang w:eastAsia="en-US"/>
        </w:rPr>
        <w:t>meeting</w:t>
      </w:r>
      <w:r w:rsidR="00362C53">
        <w:rPr>
          <w:lang w:eastAsia="en-US"/>
        </w:rPr>
        <w:t xml:space="preserve"> </w:t>
      </w:r>
      <w:r w:rsidR="00C40620">
        <w:rPr>
          <w:lang w:eastAsia="en-US"/>
        </w:rPr>
        <w:t>[1]</w:t>
      </w:r>
      <w:r w:rsidR="00F25250">
        <w:rPr>
          <w:lang w:eastAsia="en-US"/>
        </w:rPr>
        <w:t xml:space="preserve">, </w:t>
      </w:r>
      <w:r w:rsidR="00EA6334">
        <w:rPr>
          <w:lang w:eastAsia="en-US"/>
        </w:rPr>
        <w:t xml:space="preserve">the </w:t>
      </w:r>
      <w:r w:rsidR="00474B07">
        <w:rPr>
          <w:lang w:eastAsia="en-US"/>
        </w:rPr>
        <w:t xml:space="preserve">requirement of defining additional UE capability </w:t>
      </w:r>
      <w:r w:rsidR="00CD043A">
        <w:rPr>
          <w:lang w:eastAsia="en-US"/>
        </w:rPr>
        <w:t xml:space="preserve">has been introduced </w:t>
      </w:r>
      <w:r w:rsidR="00990CB0">
        <w:rPr>
          <w:lang w:eastAsia="en-US"/>
        </w:rPr>
        <w:t>to</w:t>
      </w:r>
      <w:r w:rsidR="00CD043A">
        <w:rPr>
          <w:lang w:eastAsia="en-US"/>
        </w:rPr>
        <w:t xml:space="preserve"> resolve</w:t>
      </w:r>
      <w:r w:rsidR="00990CB0">
        <w:rPr>
          <w:lang w:eastAsia="en-US"/>
        </w:rPr>
        <w:t xml:space="preserve"> </w:t>
      </w:r>
      <w:r w:rsidR="00CD043A">
        <w:rPr>
          <w:lang w:eastAsia="en-US"/>
        </w:rPr>
        <w:t xml:space="preserve">a </w:t>
      </w:r>
      <w:r w:rsidR="00990CB0">
        <w:rPr>
          <w:lang w:eastAsia="en-US"/>
        </w:rPr>
        <w:t xml:space="preserve">scheduling availability issue </w:t>
      </w:r>
      <w:r w:rsidR="00CD043A">
        <w:rPr>
          <w:lang w:eastAsia="en-US"/>
        </w:rPr>
        <w:t>from</w:t>
      </w:r>
      <w:r w:rsidR="00990CB0">
        <w:rPr>
          <w:lang w:eastAsia="en-US"/>
        </w:rPr>
        <w:t xml:space="preserve"> deriveSSB-indexfromcell-inter</w:t>
      </w:r>
      <w:r w:rsidR="00CD043A">
        <w:rPr>
          <w:lang w:eastAsia="en-US"/>
        </w:rPr>
        <w:t xml:space="preserve"> flag</w:t>
      </w:r>
      <w:r w:rsidR="00474B07">
        <w:rPr>
          <w:lang w:eastAsia="en-US"/>
        </w:rPr>
        <w:t xml:space="preserve"> and it is remained as</w:t>
      </w:r>
      <w:r w:rsidR="00CD043A">
        <w:rPr>
          <w:lang w:eastAsia="en-US"/>
        </w:rPr>
        <w:t xml:space="preserve"> an</w:t>
      </w:r>
      <w:r w:rsidR="00474B07">
        <w:rPr>
          <w:lang w:eastAsia="en-US"/>
        </w:rPr>
        <w:t xml:space="preserve"> open issue</w:t>
      </w:r>
      <w:r w:rsidR="00CD043A">
        <w:rPr>
          <w:lang w:eastAsia="en-US"/>
        </w:rPr>
        <w:t xml:space="preserve">. </w:t>
      </w:r>
    </w:p>
    <w:p w14:paraId="0CE3D4AC" w14:textId="77777777" w:rsidR="00122FCB" w:rsidRDefault="0054124C" w:rsidP="00122FCB">
      <w:pPr>
        <w:rPr>
          <w:lang w:eastAsia="en-US"/>
        </w:rPr>
      </w:pPr>
      <w:r>
        <w:rPr>
          <w:lang w:eastAsia="en-US"/>
        </w:rPr>
        <w:t xml:space="preserve">UE is required to switch between serving RX chains and measurement on </w:t>
      </w:r>
      <w:r w:rsidR="00245DC4">
        <w:rPr>
          <w:lang w:eastAsia="en-US"/>
        </w:rPr>
        <w:t>“</w:t>
      </w:r>
      <w:r>
        <w:rPr>
          <w:lang w:eastAsia="en-US"/>
        </w:rPr>
        <w:t>spared</w:t>
      </w:r>
      <w:r w:rsidR="00245DC4">
        <w:rPr>
          <w:lang w:eastAsia="en-US"/>
        </w:rPr>
        <w:t>”</w:t>
      </w:r>
      <w:r>
        <w:rPr>
          <w:lang w:eastAsia="en-US"/>
        </w:rPr>
        <w:t xml:space="preserve"> RX chains to receive </w:t>
      </w:r>
      <w:r w:rsidR="00C90A87">
        <w:rPr>
          <w:lang w:eastAsia="en-US"/>
        </w:rPr>
        <w:t xml:space="preserve">serving cell data in between SSBs. This is not like beam refinement </w:t>
      </w:r>
      <w:r w:rsidR="00665848">
        <w:rPr>
          <w:lang w:eastAsia="en-US"/>
        </w:rPr>
        <w:t xml:space="preserve">such as switching </w:t>
      </w:r>
      <w:r w:rsidR="00245DC4">
        <w:rPr>
          <w:lang w:eastAsia="en-US"/>
        </w:rPr>
        <w:t>serving RX chains and measurement on “serving” RX chains. Thus,</w:t>
      </w:r>
      <w:r w:rsidR="00C90A87">
        <w:rPr>
          <w:lang w:eastAsia="en-US"/>
        </w:rPr>
        <w:t xml:space="preserve"> additional function </w:t>
      </w:r>
      <w:r w:rsidR="00665848">
        <w:rPr>
          <w:lang w:eastAsia="en-US"/>
        </w:rPr>
        <w:t xml:space="preserve">is needed to be implemented. </w:t>
      </w:r>
      <w:r w:rsidR="005F0548">
        <w:rPr>
          <w:lang w:eastAsia="en-US"/>
        </w:rPr>
        <w:t xml:space="preserve">Additionally, </w:t>
      </w:r>
      <w:r w:rsidR="00A6104B">
        <w:rPr>
          <w:lang w:eastAsia="en-US"/>
        </w:rPr>
        <w:t xml:space="preserve">receiving data in between SSB is a throughput enhancement feature particularly for FR2 intra-band or CBM cases. Therefore, it is beneficial from UE’s </w:t>
      </w:r>
      <w:r w:rsidR="00DD237B">
        <w:rPr>
          <w:lang w:eastAsia="en-US"/>
        </w:rPr>
        <w:t>implementation</w:t>
      </w:r>
      <w:r w:rsidR="00A6104B">
        <w:rPr>
          <w:lang w:eastAsia="en-US"/>
        </w:rPr>
        <w:t xml:space="preserve"> perspective to support</w:t>
      </w:r>
      <w:r w:rsidR="00301E3A">
        <w:rPr>
          <w:lang w:eastAsia="en-US"/>
        </w:rPr>
        <w:t xml:space="preserve"> </w:t>
      </w:r>
      <w:r w:rsidR="00A6104B">
        <w:rPr>
          <w:lang w:eastAsia="en-US"/>
        </w:rPr>
        <w:t xml:space="preserve">throughput enhancement feature </w:t>
      </w:r>
      <w:r w:rsidR="00301E3A">
        <w:rPr>
          <w:lang w:eastAsia="en-US"/>
        </w:rPr>
        <w:t>selectively. To support this, we need an additional UE capability to support</w:t>
      </w:r>
      <w:r w:rsidR="00DD237B">
        <w:rPr>
          <w:lang w:eastAsia="en-US"/>
        </w:rPr>
        <w:t xml:space="preserve"> serving data reception during SMTC. </w:t>
      </w:r>
    </w:p>
    <w:p w14:paraId="1DF49C71" w14:textId="7CF2E262" w:rsidR="00C90CA5" w:rsidRPr="00A703FE" w:rsidRDefault="00A260B5" w:rsidP="00122FCB">
      <w:pPr>
        <w:rPr>
          <w:b/>
          <w:bCs/>
          <w:lang w:eastAsia="en-US"/>
        </w:rPr>
      </w:pPr>
      <w:r w:rsidRPr="00A703FE">
        <w:rPr>
          <w:b/>
          <w:bCs/>
          <w:lang w:eastAsia="en-US"/>
        </w:rPr>
        <w:t xml:space="preserve">Observation </w:t>
      </w:r>
      <w:r w:rsidR="007B5AA4" w:rsidRPr="00A703FE">
        <w:rPr>
          <w:b/>
          <w:bCs/>
          <w:lang w:eastAsia="en-US"/>
        </w:rPr>
        <w:t>1</w:t>
      </w:r>
    </w:p>
    <w:p w14:paraId="4CCEADF0" w14:textId="7EAE5B09" w:rsidR="00A260B5" w:rsidRPr="00A703FE" w:rsidRDefault="00B92DC3" w:rsidP="00F7303F">
      <w:pPr>
        <w:pStyle w:val="ListParagraph"/>
        <w:numPr>
          <w:ilvl w:val="1"/>
          <w:numId w:val="38"/>
        </w:numPr>
        <w:rPr>
          <w:b/>
          <w:bCs/>
          <w:lang w:eastAsia="en-US"/>
        </w:rPr>
      </w:pPr>
      <w:r w:rsidRPr="00A703FE">
        <w:rPr>
          <w:b/>
          <w:bCs/>
          <w:lang w:eastAsia="en-US"/>
        </w:rPr>
        <w:t>DeriveSSB-inter flag require UE to switch serving RX chains and measurement on “spared” RX chains.</w:t>
      </w:r>
    </w:p>
    <w:p w14:paraId="01E753B9" w14:textId="3B3AADB8" w:rsidR="00B92DC3" w:rsidRPr="00A703FE" w:rsidRDefault="00665609" w:rsidP="00F7303F">
      <w:pPr>
        <w:pStyle w:val="ListParagraph"/>
        <w:numPr>
          <w:ilvl w:val="1"/>
          <w:numId w:val="38"/>
        </w:numPr>
        <w:rPr>
          <w:b/>
          <w:bCs/>
          <w:lang w:eastAsia="en-US"/>
        </w:rPr>
      </w:pPr>
      <w:r w:rsidRPr="00A703FE">
        <w:rPr>
          <w:b/>
          <w:bCs/>
          <w:lang w:eastAsia="en-US"/>
        </w:rPr>
        <w:t xml:space="preserve">Data reception within </w:t>
      </w:r>
      <w:r w:rsidR="006A7871" w:rsidRPr="00A703FE">
        <w:rPr>
          <w:b/>
          <w:bCs/>
          <w:lang w:eastAsia="en-US"/>
        </w:rPr>
        <w:t>SMTC is throughput enhancement particularly for FR2 intra-band or CBM cases.</w:t>
      </w:r>
    </w:p>
    <w:p w14:paraId="5527378E" w14:textId="34C4A408" w:rsidR="006A7871" w:rsidRPr="00A703FE" w:rsidRDefault="006A7871" w:rsidP="00F7303F">
      <w:pPr>
        <w:pStyle w:val="ListParagraph"/>
        <w:numPr>
          <w:ilvl w:val="1"/>
          <w:numId w:val="38"/>
        </w:numPr>
        <w:rPr>
          <w:b/>
          <w:bCs/>
          <w:lang w:eastAsia="en-US"/>
        </w:rPr>
      </w:pPr>
      <w:r w:rsidRPr="00A703FE">
        <w:rPr>
          <w:b/>
          <w:bCs/>
          <w:lang w:eastAsia="en-US"/>
        </w:rPr>
        <w:t xml:space="preserve">It is beneficial from UE’s implementation perspective </w:t>
      </w:r>
      <w:r w:rsidR="0084584F" w:rsidRPr="00A703FE">
        <w:rPr>
          <w:b/>
          <w:bCs/>
          <w:lang w:eastAsia="en-US"/>
        </w:rPr>
        <w:t xml:space="preserve">to support the data reception within SMTC selectively. </w:t>
      </w:r>
    </w:p>
    <w:p w14:paraId="76D58FFF" w14:textId="586E70C1" w:rsidR="008F0E99" w:rsidRPr="00A703FE" w:rsidRDefault="008F0E99" w:rsidP="00F7303F">
      <w:pPr>
        <w:pStyle w:val="ListParagraph"/>
        <w:numPr>
          <w:ilvl w:val="1"/>
          <w:numId w:val="38"/>
        </w:numPr>
        <w:rPr>
          <w:b/>
          <w:bCs/>
          <w:lang w:eastAsia="en-US"/>
        </w:rPr>
      </w:pPr>
      <w:r w:rsidRPr="00A703FE">
        <w:rPr>
          <w:b/>
          <w:bCs/>
          <w:lang w:eastAsia="en-US"/>
        </w:rPr>
        <w:t>New optional UE capability</w:t>
      </w:r>
      <w:r w:rsidR="005F5827">
        <w:rPr>
          <w:b/>
          <w:bCs/>
          <w:lang w:eastAsia="en-US"/>
        </w:rPr>
        <w:t xml:space="preserve"> for supporting deriveSSB-Indexfromcell_inter</w:t>
      </w:r>
      <w:r w:rsidRPr="00A703FE">
        <w:rPr>
          <w:b/>
          <w:bCs/>
          <w:lang w:eastAsia="en-US"/>
        </w:rPr>
        <w:t xml:space="preserve"> </w:t>
      </w:r>
      <w:r w:rsidR="00DB3FA0">
        <w:rPr>
          <w:b/>
          <w:bCs/>
          <w:lang w:eastAsia="en-US"/>
        </w:rPr>
        <w:t>implies that UE</w:t>
      </w:r>
      <w:r w:rsidRPr="00A703FE">
        <w:rPr>
          <w:b/>
          <w:bCs/>
          <w:lang w:eastAsia="en-US"/>
        </w:rPr>
        <w:t xml:space="preserve"> support</w:t>
      </w:r>
      <w:r w:rsidR="00DB3FA0">
        <w:rPr>
          <w:b/>
          <w:bCs/>
          <w:lang w:eastAsia="en-US"/>
        </w:rPr>
        <w:t>s</w:t>
      </w:r>
      <w:r w:rsidRPr="00A703FE">
        <w:rPr>
          <w:b/>
          <w:bCs/>
          <w:lang w:eastAsia="en-US"/>
        </w:rPr>
        <w:t xml:space="preserve"> serving data reception within SMTC</w:t>
      </w:r>
      <w:r w:rsidR="0039079E">
        <w:rPr>
          <w:b/>
          <w:bCs/>
          <w:lang w:eastAsia="en-US"/>
        </w:rPr>
        <w:t xml:space="preserve"> and Tidentify_inter_without_index is applicable. </w:t>
      </w:r>
    </w:p>
    <w:p w14:paraId="5F61C3E6" w14:textId="77777777" w:rsidR="00122FCB" w:rsidRDefault="00122FCB" w:rsidP="00122FCB">
      <w:pPr>
        <w:pStyle w:val="ListParagraph"/>
        <w:ind w:left="360"/>
        <w:rPr>
          <w:b/>
          <w:bCs/>
          <w:lang w:eastAsia="en-US"/>
        </w:rPr>
      </w:pPr>
    </w:p>
    <w:p w14:paraId="0C7EE0DB" w14:textId="476A984E" w:rsidR="00117F96" w:rsidRPr="00A703FE" w:rsidRDefault="00117F96" w:rsidP="00117F96">
      <w:pPr>
        <w:pStyle w:val="ListParagraph"/>
        <w:numPr>
          <w:ilvl w:val="0"/>
          <w:numId w:val="38"/>
        </w:numPr>
        <w:rPr>
          <w:b/>
          <w:bCs/>
          <w:lang w:eastAsia="en-US"/>
        </w:rPr>
      </w:pPr>
      <w:r w:rsidRPr="00A703FE">
        <w:rPr>
          <w:b/>
          <w:bCs/>
          <w:lang w:eastAsia="en-US"/>
        </w:rPr>
        <w:t>Proposal 1</w:t>
      </w:r>
    </w:p>
    <w:p w14:paraId="70D0D90B" w14:textId="2491DB11" w:rsidR="00122FCB" w:rsidRDefault="00257F0C" w:rsidP="006A27D3">
      <w:pPr>
        <w:pStyle w:val="ListParagraph"/>
        <w:numPr>
          <w:ilvl w:val="1"/>
          <w:numId w:val="38"/>
        </w:numPr>
        <w:rPr>
          <w:b/>
          <w:bCs/>
          <w:lang w:eastAsia="en-US"/>
        </w:rPr>
      </w:pPr>
      <w:r>
        <w:rPr>
          <w:b/>
          <w:bCs/>
          <w:lang w:eastAsia="en-US"/>
        </w:rPr>
        <w:t xml:space="preserve">Introduce a new optional UE capability for UE supporting NCSG </w:t>
      </w:r>
      <w:r w:rsidR="00DB3FA0">
        <w:rPr>
          <w:b/>
          <w:bCs/>
          <w:lang w:eastAsia="en-US"/>
        </w:rPr>
        <w:t>indicating the support of deriveSSb-indexfromcell-inter.</w:t>
      </w:r>
    </w:p>
    <w:p w14:paraId="2B256AC3" w14:textId="607E8568" w:rsidR="006A27D3" w:rsidRPr="00A703FE" w:rsidRDefault="006A27D3" w:rsidP="006A27D3">
      <w:pPr>
        <w:pStyle w:val="ListParagraph"/>
        <w:numPr>
          <w:ilvl w:val="1"/>
          <w:numId w:val="38"/>
        </w:numPr>
        <w:rPr>
          <w:b/>
          <w:bCs/>
          <w:lang w:eastAsia="en-US"/>
        </w:rPr>
      </w:pPr>
      <w:r w:rsidRPr="00A703FE">
        <w:rPr>
          <w:b/>
          <w:bCs/>
          <w:lang w:eastAsia="en-US"/>
        </w:rPr>
        <w:t>We support Option1.</w:t>
      </w:r>
    </w:p>
    <w:p w14:paraId="2DFE21EB" w14:textId="77777777" w:rsidR="00117F96" w:rsidRPr="00A703FE" w:rsidRDefault="00117F96" w:rsidP="007548BC">
      <w:pPr>
        <w:numPr>
          <w:ilvl w:val="2"/>
          <w:numId w:val="38"/>
        </w:numPr>
        <w:spacing w:after="120" w:line="259" w:lineRule="auto"/>
        <w:rPr>
          <w:rFonts w:ascii="Calibri" w:hAnsi="Calibri" w:cs="Calibri"/>
          <w:b/>
          <w:bCs/>
          <w:iCs/>
          <w:color w:val="000000"/>
        </w:rPr>
      </w:pPr>
      <w:r w:rsidRPr="00A703FE">
        <w:rPr>
          <w:rFonts w:ascii="Calibri" w:hAnsi="Calibri" w:cs="Calibri"/>
          <w:b/>
          <w:bCs/>
          <w:iCs/>
          <w:color w:val="000000"/>
        </w:rPr>
        <w:lastRenderedPageBreak/>
        <w:t xml:space="preserve">Option 1: introduce a new optional UE capability for UE supporting NCSG indicating the support of </w:t>
      </w:r>
      <w:r w:rsidRPr="00A703FE">
        <w:rPr>
          <w:rFonts w:ascii="Calibri" w:hAnsi="Calibri" w:cs="Calibri"/>
          <w:b/>
          <w:bCs/>
          <w:i/>
          <w:iCs/>
          <w:color w:val="000000"/>
        </w:rPr>
        <w:t>deriveSSB-IndexFromCell-inter</w:t>
      </w:r>
      <w:r w:rsidRPr="00A703FE">
        <w:rPr>
          <w:rFonts w:ascii="Calibri" w:hAnsi="Calibri" w:cs="Calibri"/>
          <w:b/>
          <w:bCs/>
          <w:iCs/>
          <w:color w:val="000000"/>
        </w:rPr>
        <w:t>., and it implies that when deriveSSB-IndexFromCell-inter is enabled, (1) Tidentify_inter_without_index is applicable to UE (2) UE is capable of serving cell communication within SMTC based on the agreed scheduling restriction associated with deriveSSB-IndexFromCell-inter</w:t>
      </w:r>
    </w:p>
    <w:p w14:paraId="4AE740DE" w14:textId="686398E0" w:rsidR="00E87599" w:rsidRPr="00262FF4" w:rsidRDefault="00E87599" w:rsidP="00E87599">
      <w:pPr>
        <w:pStyle w:val="ListParagraph"/>
        <w:numPr>
          <w:ilvl w:val="0"/>
          <w:numId w:val="38"/>
        </w:numPr>
        <w:spacing w:after="120" w:line="259" w:lineRule="auto"/>
        <w:jc w:val="both"/>
        <w:rPr>
          <w:rFonts w:asciiTheme="minorHAnsi" w:eastAsia="SimSun" w:hAnsiTheme="minorHAnsi" w:cstheme="minorHAnsi"/>
          <w:b/>
          <w:iCs/>
          <w:color w:val="000000" w:themeColor="text1"/>
        </w:rPr>
      </w:pPr>
      <w:r w:rsidRPr="00262FF4">
        <w:rPr>
          <w:rFonts w:asciiTheme="minorHAnsi" w:eastAsia="SimSun" w:hAnsiTheme="minorHAnsi" w:cstheme="minorHAnsi"/>
          <w:b/>
          <w:iCs/>
          <w:u w:val="single"/>
        </w:rPr>
        <w:t>Issue: relationship with NeedForGap</w:t>
      </w:r>
    </w:p>
    <w:tbl>
      <w:tblPr>
        <w:tblStyle w:val="TableGrid"/>
        <w:tblW w:w="0" w:type="auto"/>
        <w:tblInd w:w="360" w:type="dxa"/>
        <w:tblLook w:val="04A0" w:firstRow="1" w:lastRow="0" w:firstColumn="1" w:lastColumn="0" w:noHBand="0" w:noVBand="1"/>
      </w:tblPr>
      <w:tblGrid>
        <w:gridCol w:w="9262"/>
      </w:tblGrid>
      <w:tr w:rsidR="00E87599" w14:paraId="14619AF1" w14:textId="77777777" w:rsidTr="00E87599">
        <w:tc>
          <w:tcPr>
            <w:tcW w:w="9262" w:type="dxa"/>
          </w:tcPr>
          <w:p w14:paraId="7D9702DF" w14:textId="77777777" w:rsidR="00262FF4" w:rsidRPr="00F36359" w:rsidRDefault="00262FF4" w:rsidP="00262FF4">
            <w:pPr>
              <w:spacing w:after="120" w:line="259" w:lineRule="auto"/>
              <w:rPr>
                <w:rFonts w:ascii="Calibri" w:hAnsi="Calibri" w:cs="Calibri"/>
                <w:bCs/>
                <w:i/>
                <w:color w:val="000000"/>
              </w:rPr>
            </w:pPr>
            <w:r w:rsidRPr="00F36359">
              <w:rPr>
                <w:rFonts w:ascii="Calibri" w:hAnsi="Calibri" w:cs="Calibri"/>
                <w:bCs/>
                <w:i/>
                <w:color w:val="000000"/>
              </w:rPr>
              <w:t>&lt;RAN4 103-e discussions&gt;</w:t>
            </w:r>
          </w:p>
          <w:p w14:paraId="135DE688" w14:textId="2E2A1C0C" w:rsidR="00E87599" w:rsidRDefault="00E87599" w:rsidP="00262FF4">
            <w:pPr>
              <w:numPr>
                <w:ilvl w:val="0"/>
                <w:numId w:val="38"/>
              </w:numPr>
              <w:spacing w:after="120" w:line="259" w:lineRule="auto"/>
              <w:jc w:val="both"/>
              <w:rPr>
                <w:rFonts w:asciiTheme="minorHAnsi" w:eastAsia="SimSun" w:hAnsiTheme="minorHAnsi" w:cstheme="minorHAnsi"/>
                <w:bCs/>
                <w:iCs/>
                <w:color w:val="000000" w:themeColor="text1"/>
              </w:rPr>
            </w:pPr>
            <w:r w:rsidRPr="00F36359">
              <w:rPr>
                <w:rFonts w:asciiTheme="minorHAnsi" w:eastAsia="SimSun" w:hAnsiTheme="minorHAnsi" w:cstheme="minorHAnsi"/>
                <w:bCs/>
                <w:i/>
                <w:color w:val="000000" w:themeColor="text1"/>
              </w:rPr>
              <w:t xml:space="preserve">Proposal 1: </w:t>
            </w:r>
            <w:r w:rsidRPr="00F36359">
              <w:rPr>
                <w:rFonts w:asciiTheme="minorHAnsi" w:eastAsia="SimSun" w:hAnsiTheme="minorHAnsi" w:cstheme="minorHAnsi"/>
                <w:i/>
                <w:color w:val="000000" w:themeColor="text1"/>
              </w:rPr>
              <w:t>Decouple using NeedForNCSG-InfoNR for indicating measurement capability with support of NCSG, i.e. UE not capable of NCSG could also use NeedForNCSG-InfoNR for indicating its capability and should meet the corresponding requirements. (HW)</w:t>
            </w:r>
          </w:p>
        </w:tc>
      </w:tr>
    </w:tbl>
    <w:p w14:paraId="2E55D3B4" w14:textId="723A52BE" w:rsidR="006938C3" w:rsidRDefault="00F8014C" w:rsidP="00E87599">
      <w:pPr>
        <w:rPr>
          <w:lang w:eastAsia="en-US"/>
        </w:rPr>
      </w:pPr>
      <w:r>
        <w:rPr>
          <w:lang w:eastAsia="en-US"/>
        </w:rPr>
        <w:t xml:space="preserve">In previous </w:t>
      </w:r>
      <w:r w:rsidR="005C50B8">
        <w:rPr>
          <w:lang w:eastAsia="en-US"/>
        </w:rPr>
        <w:t>RAN</w:t>
      </w:r>
      <w:r w:rsidR="0039079E">
        <w:rPr>
          <w:lang w:eastAsia="en-US"/>
        </w:rPr>
        <w:t xml:space="preserve">2 </w:t>
      </w:r>
      <w:r>
        <w:rPr>
          <w:lang w:eastAsia="en-US"/>
        </w:rPr>
        <w:t>meeting</w:t>
      </w:r>
      <w:r w:rsidR="0039079E">
        <w:rPr>
          <w:lang w:eastAsia="en-US"/>
        </w:rPr>
        <w:t xml:space="preserve"> [2]</w:t>
      </w:r>
      <w:r>
        <w:rPr>
          <w:lang w:eastAsia="en-US"/>
        </w:rPr>
        <w:t xml:space="preserve">, </w:t>
      </w:r>
      <w:r w:rsidR="0039079E">
        <w:rPr>
          <w:lang w:eastAsia="en-US"/>
        </w:rPr>
        <w:t>reporting capability has been revised as following</w:t>
      </w:r>
      <w:r w:rsidR="006938C3">
        <w:rPr>
          <w:lang w:eastAsia="en-US"/>
        </w:rPr>
        <w:t xml:space="preserve"> </w:t>
      </w:r>
    </w:p>
    <w:tbl>
      <w:tblPr>
        <w:tblStyle w:val="TableGrid"/>
        <w:tblW w:w="0" w:type="auto"/>
        <w:tblLook w:val="04A0" w:firstRow="1" w:lastRow="0" w:firstColumn="1" w:lastColumn="0" w:noHBand="0" w:noVBand="1"/>
      </w:tblPr>
      <w:tblGrid>
        <w:gridCol w:w="9622"/>
      </w:tblGrid>
      <w:tr w:rsidR="005A4F59" w14:paraId="3626DD83" w14:textId="77777777" w:rsidTr="005A4F59">
        <w:tc>
          <w:tcPr>
            <w:tcW w:w="9622" w:type="dxa"/>
          </w:tcPr>
          <w:p w14:paraId="06AC13EF" w14:textId="3547CC1F" w:rsidR="005A4F59" w:rsidRPr="00F36359" w:rsidRDefault="005A4F59" w:rsidP="005A4F59">
            <w:pPr>
              <w:keepNext/>
              <w:keepLines/>
              <w:overflowPunct w:val="0"/>
              <w:autoSpaceDE w:val="0"/>
              <w:autoSpaceDN w:val="0"/>
              <w:adjustRightInd w:val="0"/>
              <w:spacing w:after="0"/>
              <w:rPr>
                <w:rFonts w:ascii="Arial" w:eastAsia="Times New Roman" w:hAnsi="Arial" w:cs="Arial"/>
                <w:b/>
                <w:i/>
                <w:sz w:val="18"/>
                <w:lang w:eastAsia="ja-JP"/>
              </w:rPr>
            </w:pPr>
            <w:r w:rsidRPr="00F36359">
              <w:rPr>
                <w:rFonts w:ascii="Arial" w:eastAsia="Times New Roman" w:hAnsi="Arial" w:cs="Arial"/>
                <w:b/>
                <w:i/>
                <w:sz w:val="18"/>
                <w:lang w:eastAsia="ja-JP"/>
              </w:rPr>
              <w:t>eutra-NeedForGapNCSG-reporting-r17</w:t>
            </w:r>
          </w:p>
          <w:p w14:paraId="128578A4" w14:textId="77777777" w:rsidR="005A4F59" w:rsidRPr="00F36359" w:rsidRDefault="005A4F59" w:rsidP="005A4F59">
            <w:pPr>
              <w:rPr>
                <w:rFonts w:ascii="Arial" w:eastAsia="Times New Roman" w:hAnsi="Arial" w:cs="Arial"/>
                <w:bCs/>
                <w:i/>
                <w:sz w:val="18"/>
                <w:lang w:eastAsia="ja-JP"/>
              </w:rPr>
            </w:pPr>
            <w:r w:rsidRPr="00F36359">
              <w:rPr>
                <w:rFonts w:ascii="Arial" w:eastAsia="Times New Roman" w:hAnsi="Arial" w:cs="Arial"/>
                <w:bCs/>
                <w:i/>
                <w:sz w:val="18"/>
                <w:lang w:eastAsia="ja-JP"/>
              </w:rPr>
              <w:t>Indicates whether the UE supports reporting of the NCSG and measurement gap requirement information for E-UTRA target bands in the UE response to a network configuration RRC message as specified in TS 38.331 [9].</w:t>
            </w:r>
          </w:p>
          <w:p w14:paraId="2571E3A0" w14:textId="77777777" w:rsidR="005A4F59" w:rsidRPr="00F36359" w:rsidRDefault="005A4F59" w:rsidP="005A4F59">
            <w:pPr>
              <w:keepNext/>
              <w:keepLines/>
              <w:overflowPunct w:val="0"/>
              <w:autoSpaceDE w:val="0"/>
              <w:autoSpaceDN w:val="0"/>
              <w:adjustRightInd w:val="0"/>
              <w:spacing w:after="0"/>
              <w:rPr>
                <w:rFonts w:ascii="Arial" w:eastAsia="Times New Roman" w:hAnsi="Arial" w:cs="Arial"/>
                <w:b/>
                <w:i/>
                <w:sz w:val="18"/>
                <w:lang w:eastAsia="ja-JP"/>
              </w:rPr>
            </w:pPr>
            <w:r w:rsidRPr="00F36359">
              <w:rPr>
                <w:rFonts w:ascii="Arial" w:eastAsia="Times New Roman" w:hAnsi="Arial" w:cs="Arial"/>
                <w:b/>
                <w:i/>
                <w:sz w:val="18"/>
                <w:lang w:eastAsia="ja-JP"/>
              </w:rPr>
              <w:t>nr-NeedForGapNCSG-reporting-r17</w:t>
            </w:r>
          </w:p>
          <w:p w14:paraId="636BB5B5" w14:textId="155D65C4" w:rsidR="005A4F59" w:rsidRPr="005C3472" w:rsidRDefault="005A4F59" w:rsidP="00E87599">
            <w:pPr>
              <w:rPr>
                <w:rFonts w:ascii="Arial" w:eastAsia="Times New Roman" w:hAnsi="Arial" w:cs="Arial"/>
                <w:bCs/>
                <w:iCs/>
                <w:sz w:val="18"/>
                <w:lang w:eastAsia="ja-JP"/>
              </w:rPr>
            </w:pPr>
            <w:r w:rsidRPr="00F36359">
              <w:rPr>
                <w:rFonts w:ascii="Arial" w:eastAsia="Times New Roman" w:hAnsi="Arial" w:cs="Arial"/>
                <w:bCs/>
                <w:i/>
                <w:sz w:val="18"/>
                <w:lang w:eastAsia="ja-JP"/>
              </w:rPr>
              <w:t>Indicates whether the UE supports reporting of the NCSG and measurement gap requirement information for SSB based measurement in the UE response to a network configuration RRC message as specified in TS 38.331 [9].</w:t>
            </w:r>
          </w:p>
        </w:tc>
      </w:tr>
    </w:tbl>
    <w:p w14:paraId="3DD28B5C" w14:textId="60D6DA87" w:rsidR="0093287E" w:rsidRDefault="005C50B8" w:rsidP="00E87599">
      <w:pPr>
        <w:rPr>
          <w:lang w:eastAsia="en-US"/>
        </w:rPr>
      </w:pPr>
      <w:r>
        <w:rPr>
          <w:lang w:eastAsia="en-US"/>
        </w:rPr>
        <w:t xml:space="preserve">Since </w:t>
      </w:r>
      <w:r w:rsidR="00FA4AEA" w:rsidRPr="00FA4AEA">
        <w:rPr>
          <w:lang w:eastAsia="en-US"/>
        </w:rPr>
        <w:t>RAN2 revised ncsg-MeasGap-r17 with nr-NeedForGapNCSG-reporting-r17 to indicate whether the UE supports R17 NeedForGap configuration and reporting signalling</w:t>
      </w:r>
      <w:r w:rsidR="00CA576F">
        <w:rPr>
          <w:lang w:eastAsia="en-US"/>
        </w:rPr>
        <w:t xml:space="preserve">, </w:t>
      </w:r>
      <w:r w:rsidR="00FA4AEA" w:rsidRPr="00FA4AEA">
        <w:rPr>
          <w:lang w:eastAsia="en-US"/>
        </w:rPr>
        <w:t xml:space="preserve">Supporting NCSG </w:t>
      </w:r>
      <w:r w:rsidR="0093287E" w:rsidRPr="00FA4AEA">
        <w:rPr>
          <w:lang w:eastAsia="en-US"/>
        </w:rPr>
        <w:t>featur</w:t>
      </w:r>
      <w:r w:rsidR="0093287E">
        <w:rPr>
          <w:lang w:eastAsia="en-US"/>
        </w:rPr>
        <w:t>e</w:t>
      </w:r>
      <w:r w:rsidR="00FA4AEA" w:rsidRPr="00FA4AEA">
        <w:rPr>
          <w:lang w:eastAsia="en-US"/>
        </w:rPr>
        <w:t xml:space="preserve"> and reporting are now separated.</w:t>
      </w:r>
      <w:r w:rsidR="00CA576F">
        <w:rPr>
          <w:lang w:eastAsia="en-US"/>
        </w:rPr>
        <w:t xml:space="preserve"> Finally, the remain issue will be resolved by using new signalling. </w:t>
      </w:r>
    </w:p>
    <w:p w14:paraId="7AA4AFFB" w14:textId="3F926A39" w:rsidR="0093287E" w:rsidRPr="00A703FE" w:rsidRDefault="0093287E" w:rsidP="0093287E">
      <w:pPr>
        <w:pStyle w:val="ListParagraph"/>
        <w:numPr>
          <w:ilvl w:val="0"/>
          <w:numId w:val="38"/>
        </w:numPr>
        <w:rPr>
          <w:b/>
          <w:bCs/>
          <w:lang w:eastAsia="en-US"/>
        </w:rPr>
      </w:pPr>
      <w:r w:rsidRPr="00A703FE">
        <w:rPr>
          <w:b/>
          <w:bCs/>
          <w:lang w:eastAsia="en-US"/>
        </w:rPr>
        <w:t>Observation 2</w:t>
      </w:r>
    </w:p>
    <w:p w14:paraId="6F01DF5A" w14:textId="76E3BA2B" w:rsidR="0093287E" w:rsidRPr="00A703FE" w:rsidRDefault="0093287E" w:rsidP="0093287E">
      <w:pPr>
        <w:pStyle w:val="ListParagraph"/>
        <w:numPr>
          <w:ilvl w:val="1"/>
          <w:numId w:val="38"/>
        </w:numPr>
        <w:rPr>
          <w:b/>
          <w:bCs/>
          <w:lang w:eastAsia="en-US"/>
        </w:rPr>
      </w:pPr>
      <w:r w:rsidRPr="00A703FE">
        <w:rPr>
          <w:b/>
          <w:bCs/>
          <w:lang w:eastAsia="en-US"/>
        </w:rPr>
        <w:t xml:space="preserve">RAN2 </w:t>
      </w:r>
      <w:r w:rsidR="0030349F" w:rsidRPr="00A703FE">
        <w:rPr>
          <w:b/>
          <w:bCs/>
          <w:lang w:eastAsia="en-US"/>
        </w:rPr>
        <w:t xml:space="preserve">revise ncsg-MeasGap-r17 as nr-NeedForGapNCSG-reporting-r17. Thus reporting capability and supporting NCSG </w:t>
      </w:r>
      <w:r w:rsidR="004476BF">
        <w:rPr>
          <w:b/>
          <w:bCs/>
          <w:lang w:eastAsia="en-US"/>
        </w:rPr>
        <w:t xml:space="preserve">feature </w:t>
      </w:r>
      <w:r w:rsidR="0030349F" w:rsidRPr="00A703FE">
        <w:rPr>
          <w:b/>
          <w:bCs/>
          <w:lang w:eastAsia="en-US"/>
        </w:rPr>
        <w:t>is separated.</w:t>
      </w:r>
    </w:p>
    <w:p w14:paraId="53C502BF" w14:textId="77777777" w:rsidR="00C4555E" w:rsidRDefault="0030349F" w:rsidP="000E0BA6">
      <w:pPr>
        <w:pStyle w:val="ListParagraph"/>
        <w:keepNext/>
        <w:keepLines/>
        <w:numPr>
          <w:ilvl w:val="0"/>
          <w:numId w:val="38"/>
        </w:numPr>
        <w:overflowPunct w:val="0"/>
        <w:autoSpaceDE w:val="0"/>
        <w:autoSpaceDN w:val="0"/>
        <w:adjustRightInd w:val="0"/>
        <w:spacing w:after="0"/>
        <w:rPr>
          <w:b/>
          <w:bCs/>
          <w:lang w:eastAsia="en-US"/>
        </w:rPr>
      </w:pPr>
      <w:r w:rsidRPr="00C4555E">
        <w:rPr>
          <w:b/>
          <w:bCs/>
          <w:lang w:eastAsia="en-US"/>
        </w:rPr>
        <w:t>Proposal 2</w:t>
      </w:r>
    </w:p>
    <w:p w14:paraId="050FA052" w14:textId="65CB7BB9" w:rsidR="0030349F" w:rsidRPr="004476BF" w:rsidRDefault="00F7445A" w:rsidP="00D92EAD">
      <w:pPr>
        <w:pStyle w:val="ListParagraph"/>
        <w:keepNext/>
        <w:keepLines/>
        <w:numPr>
          <w:ilvl w:val="1"/>
          <w:numId w:val="38"/>
        </w:numPr>
        <w:overflowPunct w:val="0"/>
        <w:autoSpaceDE w:val="0"/>
        <w:autoSpaceDN w:val="0"/>
        <w:adjustRightInd w:val="0"/>
        <w:spacing w:after="0"/>
        <w:rPr>
          <w:lang w:eastAsia="en-US"/>
        </w:rPr>
      </w:pPr>
      <w:r w:rsidRPr="00E6202A">
        <w:rPr>
          <w:b/>
          <w:bCs/>
          <w:lang w:eastAsia="en-US"/>
        </w:rPr>
        <w:t xml:space="preserve">UE </w:t>
      </w:r>
      <w:r w:rsidR="00A0452C" w:rsidRPr="00E6202A">
        <w:rPr>
          <w:b/>
          <w:bCs/>
          <w:lang w:eastAsia="en-US"/>
        </w:rPr>
        <w:t>support</w:t>
      </w:r>
      <w:r w:rsidR="00E6202A">
        <w:rPr>
          <w:b/>
          <w:bCs/>
          <w:lang w:eastAsia="en-US"/>
        </w:rPr>
        <w:t>ing</w:t>
      </w:r>
      <w:r w:rsidR="00A0452C" w:rsidRPr="00E6202A">
        <w:rPr>
          <w:b/>
          <w:bCs/>
          <w:lang w:eastAsia="en-US"/>
        </w:rPr>
        <w:t xml:space="preserve"> </w:t>
      </w:r>
      <w:r w:rsidRPr="00E6202A">
        <w:rPr>
          <w:rFonts w:ascii="Arial" w:eastAsia="Times New Roman" w:hAnsi="Arial" w:cs="Arial"/>
          <w:b/>
          <w:bCs/>
          <w:i/>
          <w:sz w:val="18"/>
          <w:lang w:eastAsia="ja-JP"/>
        </w:rPr>
        <w:t>nr-NeedForGapNCSG-reporting-r17</w:t>
      </w:r>
      <w:r w:rsidR="00BC19D3" w:rsidRPr="00E6202A">
        <w:rPr>
          <w:rFonts w:ascii="Arial" w:eastAsia="Times New Roman" w:hAnsi="Arial" w:cs="Arial"/>
          <w:b/>
          <w:bCs/>
          <w:i/>
          <w:sz w:val="18"/>
          <w:lang w:eastAsia="ja-JP"/>
        </w:rPr>
        <w:t xml:space="preserve"> </w:t>
      </w:r>
      <w:r w:rsidR="005251E1" w:rsidRPr="00463D12">
        <w:rPr>
          <w:b/>
          <w:bCs/>
          <w:lang w:eastAsia="en-US"/>
        </w:rPr>
        <w:t>c</w:t>
      </w:r>
      <w:r w:rsidR="00E6202A" w:rsidRPr="00463D12">
        <w:rPr>
          <w:b/>
          <w:bCs/>
          <w:lang w:eastAsia="en-US"/>
        </w:rPr>
        <w:t xml:space="preserve">an report </w:t>
      </w:r>
      <w:r w:rsidR="00463D12" w:rsidRPr="00463D12">
        <w:rPr>
          <w:b/>
          <w:bCs/>
          <w:lang w:eastAsia="en-US"/>
        </w:rPr>
        <w:t>via</w:t>
      </w:r>
      <w:r w:rsidR="00463D12">
        <w:rPr>
          <w:rFonts w:ascii="Arial" w:eastAsia="Times New Roman" w:hAnsi="Arial" w:cs="Arial"/>
          <w:b/>
          <w:bCs/>
          <w:i/>
          <w:sz w:val="18"/>
          <w:lang w:eastAsia="ja-JP"/>
        </w:rPr>
        <w:t xml:space="preserve"> </w:t>
      </w:r>
      <w:r w:rsidR="00E6202A">
        <w:rPr>
          <w:rFonts w:ascii="Arial" w:eastAsia="Times New Roman" w:hAnsi="Arial" w:cs="Arial"/>
          <w:b/>
          <w:bCs/>
          <w:i/>
          <w:sz w:val="18"/>
          <w:lang w:eastAsia="ja-JP"/>
        </w:rPr>
        <w:t xml:space="preserve">NeedforNCSG-Info </w:t>
      </w:r>
      <w:r w:rsidR="00463D12">
        <w:rPr>
          <w:rFonts w:ascii="Arial" w:eastAsia="Times New Roman" w:hAnsi="Arial" w:cs="Arial"/>
          <w:b/>
          <w:bCs/>
          <w:i/>
          <w:sz w:val="18"/>
          <w:lang w:eastAsia="ja-JP"/>
        </w:rPr>
        <w:t>IE.</w:t>
      </w:r>
    </w:p>
    <w:p w14:paraId="10168A60" w14:textId="79FB3D65" w:rsidR="004476BF" w:rsidRDefault="004476BF" w:rsidP="00D92EAD">
      <w:pPr>
        <w:pStyle w:val="ListParagraph"/>
        <w:keepNext/>
        <w:keepLines/>
        <w:numPr>
          <w:ilvl w:val="1"/>
          <w:numId w:val="38"/>
        </w:numPr>
        <w:overflowPunct w:val="0"/>
        <w:autoSpaceDE w:val="0"/>
        <w:autoSpaceDN w:val="0"/>
        <w:adjustRightInd w:val="0"/>
        <w:spacing w:after="0"/>
        <w:rPr>
          <w:lang w:eastAsia="en-US"/>
        </w:rPr>
      </w:pPr>
      <w:r>
        <w:rPr>
          <w:b/>
          <w:bCs/>
          <w:lang w:eastAsia="en-US"/>
        </w:rPr>
        <w:t xml:space="preserve">UE supporting </w:t>
      </w:r>
      <w:r w:rsidRPr="002071A0">
        <w:rPr>
          <w:b/>
          <w:bCs/>
          <w:i/>
          <w:iCs/>
          <w:lang w:eastAsia="en-US"/>
        </w:rPr>
        <w:t>eutra-NeedforGapNCSG-reporting</w:t>
      </w:r>
      <w:r w:rsidR="005251E1">
        <w:rPr>
          <w:b/>
          <w:bCs/>
          <w:lang w:eastAsia="en-US"/>
        </w:rPr>
        <w:t xml:space="preserve"> can repo</w:t>
      </w:r>
      <w:r w:rsidR="00463D12">
        <w:rPr>
          <w:b/>
          <w:bCs/>
          <w:lang w:eastAsia="en-US"/>
        </w:rPr>
        <w:t xml:space="preserve">rt via </w:t>
      </w:r>
      <w:r w:rsidR="00463D12" w:rsidRPr="00B239EB">
        <w:rPr>
          <w:b/>
          <w:bCs/>
          <w:i/>
          <w:iCs/>
          <w:lang w:eastAsia="en-US"/>
        </w:rPr>
        <w:t>NeedforNCSg-InfoEUTRAN</w:t>
      </w:r>
    </w:p>
    <w:p w14:paraId="01A6E2B0" w14:textId="77777777" w:rsidR="00CD64B0" w:rsidRDefault="00CD64B0" w:rsidP="004D5AC3">
      <w:pPr>
        <w:rPr>
          <w:lang w:eastAsia="en-US"/>
        </w:rPr>
      </w:pPr>
    </w:p>
    <w:p w14:paraId="3D58F7B6" w14:textId="120A1A1E" w:rsidR="00C62112" w:rsidRDefault="00C62112" w:rsidP="00C62112">
      <w:pPr>
        <w:pStyle w:val="Heading1"/>
        <w:rPr>
          <w:lang w:val="en-US"/>
        </w:rPr>
      </w:pPr>
      <w:r>
        <w:rPr>
          <w:lang w:val="en-US"/>
        </w:rPr>
        <w:t>3. Conclusions</w:t>
      </w:r>
    </w:p>
    <w:p w14:paraId="37CE10F8" w14:textId="77777777" w:rsidR="002071A0" w:rsidRPr="00A703FE" w:rsidRDefault="002071A0" w:rsidP="002071A0">
      <w:pPr>
        <w:rPr>
          <w:b/>
          <w:bCs/>
          <w:lang w:eastAsia="en-US"/>
        </w:rPr>
      </w:pPr>
      <w:r w:rsidRPr="00A703FE">
        <w:rPr>
          <w:b/>
          <w:bCs/>
          <w:lang w:eastAsia="en-US"/>
        </w:rPr>
        <w:t>Observation 1</w:t>
      </w:r>
    </w:p>
    <w:p w14:paraId="776DCA44" w14:textId="77777777" w:rsidR="002071A0" w:rsidRPr="00A703FE" w:rsidRDefault="002071A0" w:rsidP="002071A0">
      <w:pPr>
        <w:pStyle w:val="ListParagraph"/>
        <w:numPr>
          <w:ilvl w:val="1"/>
          <w:numId w:val="38"/>
        </w:numPr>
        <w:rPr>
          <w:b/>
          <w:bCs/>
          <w:lang w:eastAsia="en-US"/>
        </w:rPr>
      </w:pPr>
      <w:r w:rsidRPr="00A703FE">
        <w:rPr>
          <w:b/>
          <w:bCs/>
          <w:lang w:eastAsia="en-US"/>
        </w:rPr>
        <w:t>DeriveSSB-inter flag require UE to switch serving RX chains and measurement on “spared” RX chains.</w:t>
      </w:r>
    </w:p>
    <w:p w14:paraId="49F57A2E" w14:textId="77777777" w:rsidR="002071A0" w:rsidRPr="00A703FE" w:rsidRDefault="002071A0" w:rsidP="002071A0">
      <w:pPr>
        <w:pStyle w:val="ListParagraph"/>
        <w:numPr>
          <w:ilvl w:val="1"/>
          <w:numId w:val="38"/>
        </w:numPr>
        <w:rPr>
          <w:b/>
          <w:bCs/>
          <w:lang w:eastAsia="en-US"/>
        </w:rPr>
      </w:pPr>
      <w:r w:rsidRPr="00A703FE">
        <w:rPr>
          <w:b/>
          <w:bCs/>
          <w:lang w:eastAsia="en-US"/>
        </w:rPr>
        <w:t>Data reception within SMTC is throughput enhancement particularly for FR2 intra-band or CBM cases.</w:t>
      </w:r>
    </w:p>
    <w:p w14:paraId="695D0AB4" w14:textId="77777777" w:rsidR="002071A0" w:rsidRPr="00A703FE" w:rsidRDefault="002071A0" w:rsidP="002071A0">
      <w:pPr>
        <w:pStyle w:val="ListParagraph"/>
        <w:numPr>
          <w:ilvl w:val="1"/>
          <w:numId w:val="38"/>
        </w:numPr>
        <w:rPr>
          <w:b/>
          <w:bCs/>
          <w:lang w:eastAsia="en-US"/>
        </w:rPr>
      </w:pPr>
      <w:r w:rsidRPr="00A703FE">
        <w:rPr>
          <w:b/>
          <w:bCs/>
          <w:lang w:eastAsia="en-US"/>
        </w:rPr>
        <w:t xml:space="preserve">It is beneficial from UE’s implementation perspective to support the data reception within SMTC selectively. </w:t>
      </w:r>
    </w:p>
    <w:p w14:paraId="31708CFC" w14:textId="77777777" w:rsidR="002071A0" w:rsidRPr="00A703FE" w:rsidRDefault="002071A0" w:rsidP="002071A0">
      <w:pPr>
        <w:pStyle w:val="ListParagraph"/>
        <w:numPr>
          <w:ilvl w:val="1"/>
          <w:numId w:val="38"/>
        </w:numPr>
        <w:rPr>
          <w:b/>
          <w:bCs/>
          <w:lang w:eastAsia="en-US"/>
        </w:rPr>
      </w:pPr>
      <w:r w:rsidRPr="00A703FE">
        <w:rPr>
          <w:b/>
          <w:bCs/>
          <w:lang w:eastAsia="en-US"/>
        </w:rPr>
        <w:t>New optional UE capability</w:t>
      </w:r>
      <w:r>
        <w:rPr>
          <w:b/>
          <w:bCs/>
          <w:lang w:eastAsia="en-US"/>
        </w:rPr>
        <w:t xml:space="preserve"> for supporting deriveSSB-Indexfromcell_inter</w:t>
      </w:r>
      <w:r w:rsidRPr="00A703FE">
        <w:rPr>
          <w:b/>
          <w:bCs/>
          <w:lang w:eastAsia="en-US"/>
        </w:rPr>
        <w:t xml:space="preserve"> </w:t>
      </w:r>
      <w:r>
        <w:rPr>
          <w:b/>
          <w:bCs/>
          <w:lang w:eastAsia="en-US"/>
        </w:rPr>
        <w:t>implies that UE</w:t>
      </w:r>
      <w:r w:rsidRPr="00A703FE">
        <w:rPr>
          <w:b/>
          <w:bCs/>
          <w:lang w:eastAsia="en-US"/>
        </w:rPr>
        <w:t xml:space="preserve"> support</w:t>
      </w:r>
      <w:r>
        <w:rPr>
          <w:b/>
          <w:bCs/>
          <w:lang w:eastAsia="en-US"/>
        </w:rPr>
        <w:t>s</w:t>
      </w:r>
      <w:r w:rsidRPr="00A703FE">
        <w:rPr>
          <w:b/>
          <w:bCs/>
          <w:lang w:eastAsia="en-US"/>
        </w:rPr>
        <w:t xml:space="preserve"> serving data reception within SMTC</w:t>
      </w:r>
      <w:r>
        <w:rPr>
          <w:b/>
          <w:bCs/>
          <w:lang w:eastAsia="en-US"/>
        </w:rPr>
        <w:t xml:space="preserve"> and Tidentify_inter_without_index is applicable. </w:t>
      </w:r>
    </w:p>
    <w:p w14:paraId="45DD611C" w14:textId="77777777" w:rsidR="002071A0" w:rsidRDefault="002071A0" w:rsidP="002071A0">
      <w:pPr>
        <w:pStyle w:val="ListParagraph"/>
        <w:ind w:left="360"/>
        <w:rPr>
          <w:b/>
          <w:bCs/>
          <w:lang w:eastAsia="en-US"/>
        </w:rPr>
      </w:pPr>
    </w:p>
    <w:p w14:paraId="58E34689" w14:textId="77777777" w:rsidR="002071A0" w:rsidRPr="00A703FE" w:rsidRDefault="002071A0" w:rsidP="002071A0">
      <w:pPr>
        <w:pStyle w:val="ListParagraph"/>
        <w:numPr>
          <w:ilvl w:val="0"/>
          <w:numId w:val="38"/>
        </w:numPr>
        <w:rPr>
          <w:b/>
          <w:bCs/>
          <w:lang w:eastAsia="en-US"/>
        </w:rPr>
      </w:pPr>
      <w:r w:rsidRPr="00A703FE">
        <w:rPr>
          <w:b/>
          <w:bCs/>
          <w:lang w:eastAsia="en-US"/>
        </w:rPr>
        <w:t>Proposal 1</w:t>
      </w:r>
    </w:p>
    <w:p w14:paraId="2215EE08" w14:textId="77777777" w:rsidR="002071A0" w:rsidRDefault="002071A0" w:rsidP="002071A0">
      <w:pPr>
        <w:pStyle w:val="ListParagraph"/>
        <w:numPr>
          <w:ilvl w:val="1"/>
          <w:numId w:val="38"/>
        </w:numPr>
        <w:rPr>
          <w:b/>
          <w:bCs/>
          <w:lang w:eastAsia="en-US"/>
        </w:rPr>
      </w:pPr>
      <w:r>
        <w:rPr>
          <w:b/>
          <w:bCs/>
          <w:lang w:eastAsia="en-US"/>
        </w:rPr>
        <w:t>Introduce a new optional UE capability for UE supporting NCSG indicating the support of deriveSSb-indexfromcell-inter.</w:t>
      </w:r>
    </w:p>
    <w:p w14:paraId="3E5970D6" w14:textId="77777777" w:rsidR="002071A0" w:rsidRPr="00A703FE" w:rsidRDefault="002071A0" w:rsidP="002071A0">
      <w:pPr>
        <w:pStyle w:val="ListParagraph"/>
        <w:numPr>
          <w:ilvl w:val="1"/>
          <w:numId w:val="38"/>
        </w:numPr>
        <w:rPr>
          <w:b/>
          <w:bCs/>
          <w:lang w:eastAsia="en-US"/>
        </w:rPr>
      </w:pPr>
      <w:r w:rsidRPr="00A703FE">
        <w:rPr>
          <w:b/>
          <w:bCs/>
          <w:lang w:eastAsia="en-US"/>
        </w:rPr>
        <w:t>We support Option1.</w:t>
      </w:r>
    </w:p>
    <w:p w14:paraId="084AA9F9" w14:textId="77777777" w:rsidR="002071A0" w:rsidRPr="00A703FE" w:rsidRDefault="002071A0" w:rsidP="002071A0">
      <w:pPr>
        <w:numPr>
          <w:ilvl w:val="2"/>
          <w:numId w:val="38"/>
        </w:numPr>
        <w:spacing w:after="120" w:line="259" w:lineRule="auto"/>
        <w:rPr>
          <w:rFonts w:ascii="Calibri" w:hAnsi="Calibri" w:cs="Calibri"/>
          <w:b/>
          <w:bCs/>
          <w:iCs/>
          <w:color w:val="000000"/>
        </w:rPr>
      </w:pPr>
      <w:r w:rsidRPr="00A703FE">
        <w:rPr>
          <w:rFonts w:ascii="Calibri" w:hAnsi="Calibri" w:cs="Calibri"/>
          <w:b/>
          <w:bCs/>
          <w:iCs/>
          <w:color w:val="000000"/>
        </w:rPr>
        <w:t xml:space="preserve">Option 1: introduce a new optional UE capability for UE supporting NCSG indicating the support of </w:t>
      </w:r>
      <w:r w:rsidRPr="00A703FE">
        <w:rPr>
          <w:rFonts w:ascii="Calibri" w:hAnsi="Calibri" w:cs="Calibri"/>
          <w:b/>
          <w:bCs/>
          <w:i/>
          <w:iCs/>
          <w:color w:val="000000"/>
        </w:rPr>
        <w:t>deriveSSB-IndexFromCell-inter</w:t>
      </w:r>
      <w:r w:rsidRPr="00A703FE">
        <w:rPr>
          <w:rFonts w:ascii="Calibri" w:hAnsi="Calibri" w:cs="Calibri"/>
          <w:b/>
          <w:bCs/>
          <w:iCs/>
          <w:color w:val="000000"/>
        </w:rPr>
        <w:t>., and it implies that when deriveSSB-IndexFromCell-inter is enabled, (1) Tidentify_inter_without_index is applicable to UE (2) UE is capable of serving cell communication within SMTC based on the agreed scheduling restriction associated with deriveSSB-IndexFromCell-inter</w:t>
      </w:r>
    </w:p>
    <w:p w14:paraId="4BD403C0" w14:textId="5F9B9273" w:rsidR="000C79A2" w:rsidRDefault="000C79A2" w:rsidP="000C79A2">
      <w:pPr>
        <w:rPr>
          <w:b/>
          <w:bCs/>
          <w:lang w:eastAsia="en-US"/>
        </w:rPr>
      </w:pPr>
    </w:p>
    <w:p w14:paraId="56B1C513" w14:textId="77777777" w:rsidR="002071A0" w:rsidRPr="00A703FE" w:rsidRDefault="002071A0" w:rsidP="002071A0">
      <w:pPr>
        <w:pStyle w:val="ListParagraph"/>
        <w:numPr>
          <w:ilvl w:val="0"/>
          <w:numId w:val="38"/>
        </w:numPr>
        <w:rPr>
          <w:b/>
          <w:bCs/>
          <w:lang w:eastAsia="en-US"/>
        </w:rPr>
      </w:pPr>
      <w:r w:rsidRPr="00A703FE">
        <w:rPr>
          <w:b/>
          <w:bCs/>
          <w:lang w:eastAsia="en-US"/>
        </w:rPr>
        <w:lastRenderedPageBreak/>
        <w:t>Observation 2</w:t>
      </w:r>
    </w:p>
    <w:p w14:paraId="7CE24456" w14:textId="77777777" w:rsidR="002071A0" w:rsidRPr="00A703FE" w:rsidRDefault="002071A0" w:rsidP="002071A0">
      <w:pPr>
        <w:pStyle w:val="ListParagraph"/>
        <w:numPr>
          <w:ilvl w:val="1"/>
          <w:numId w:val="38"/>
        </w:numPr>
        <w:rPr>
          <w:b/>
          <w:bCs/>
          <w:lang w:eastAsia="en-US"/>
        </w:rPr>
      </w:pPr>
      <w:r w:rsidRPr="00A703FE">
        <w:rPr>
          <w:b/>
          <w:bCs/>
          <w:lang w:eastAsia="en-US"/>
        </w:rPr>
        <w:t xml:space="preserve">RAN2 revise ncsg-MeasGap-r17 as nr-NeedForGapNCSG-reporting-r17. Thus reporting capability and supporting NCSG </w:t>
      </w:r>
      <w:r>
        <w:rPr>
          <w:b/>
          <w:bCs/>
          <w:lang w:eastAsia="en-US"/>
        </w:rPr>
        <w:t xml:space="preserve">feature </w:t>
      </w:r>
      <w:r w:rsidRPr="00A703FE">
        <w:rPr>
          <w:b/>
          <w:bCs/>
          <w:lang w:eastAsia="en-US"/>
        </w:rPr>
        <w:t>is separated.</w:t>
      </w:r>
    </w:p>
    <w:p w14:paraId="0F64A0AA" w14:textId="77777777" w:rsidR="002071A0" w:rsidRDefault="002071A0" w:rsidP="002071A0">
      <w:pPr>
        <w:pStyle w:val="ListParagraph"/>
        <w:keepNext/>
        <w:keepLines/>
        <w:numPr>
          <w:ilvl w:val="0"/>
          <w:numId w:val="38"/>
        </w:numPr>
        <w:overflowPunct w:val="0"/>
        <w:autoSpaceDE w:val="0"/>
        <w:autoSpaceDN w:val="0"/>
        <w:adjustRightInd w:val="0"/>
        <w:spacing w:after="0"/>
        <w:rPr>
          <w:b/>
          <w:bCs/>
          <w:lang w:eastAsia="en-US"/>
        </w:rPr>
      </w:pPr>
      <w:r w:rsidRPr="00C4555E">
        <w:rPr>
          <w:b/>
          <w:bCs/>
          <w:lang w:eastAsia="en-US"/>
        </w:rPr>
        <w:t>Proposal 2</w:t>
      </w:r>
    </w:p>
    <w:p w14:paraId="22745255" w14:textId="64E4D877" w:rsidR="002071A0" w:rsidRPr="004476BF" w:rsidRDefault="002071A0" w:rsidP="002071A0">
      <w:pPr>
        <w:pStyle w:val="ListParagraph"/>
        <w:keepNext/>
        <w:keepLines/>
        <w:numPr>
          <w:ilvl w:val="1"/>
          <w:numId w:val="38"/>
        </w:numPr>
        <w:overflowPunct w:val="0"/>
        <w:autoSpaceDE w:val="0"/>
        <w:autoSpaceDN w:val="0"/>
        <w:adjustRightInd w:val="0"/>
        <w:spacing w:after="0"/>
        <w:rPr>
          <w:lang w:eastAsia="en-US"/>
        </w:rPr>
      </w:pPr>
      <w:r w:rsidRPr="00E6202A">
        <w:rPr>
          <w:b/>
          <w:bCs/>
          <w:lang w:eastAsia="en-US"/>
        </w:rPr>
        <w:t>UE support</w:t>
      </w:r>
      <w:r>
        <w:rPr>
          <w:b/>
          <w:bCs/>
          <w:lang w:eastAsia="en-US"/>
        </w:rPr>
        <w:t>ing</w:t>
      </w:r>
      <w:r w:rsidRPr="00E6202A">
        <w:rPr>
          <w:b/>
          <w:bCs/>
          <w:lang w:eastAsia="en-US"/>
        </w:rPr>
        <w:t xml:space="preserve"> </w:t>
      </w:r>
      <w:r w:rsidRPr="00E6202A">
        <w:rPr>
          <w:rFonts w:ascii="Arial" w:eastAsia="Times New Roman" w:hAnsi="Arial" w:cs="Arial"/>
          <w:b/>
          <w:bCs/>
          <w:i/>
          <w:sz w:val="18"/>
          <w:lang w:eastAsia="ja-JP"/>
        </w:rPr>
        <w:t xml:space="preserve">nr-NeedForGapNCSG-reporting </w:t>
      </w:r>
      <w:r w:rsidRPr="00463D12">
        <w:rPr>
          <w:b/>
          <w:bCs/>
          <w:lang w:eastAsia="en-US"/>
        </w:rPr>
        <w:t>can report via</w:t>
      </w:r>
      <w:r>
        <w:rPr>
          <w:rFonts w:ascii="Arial" w:eastAsia="Times New Roman" w:hAnsi="Arial" w:cs="Arial"/>
          <w:b/>
          <w:bCs/>
          <w:i/>
          <w:sz w:val="18"/>
          <w:lang w:eastAsia="ja-JP"/>
        </w:rPr>
        <w:t xml:space="preserve"> NeedforNCSG-Info IE.</w:t>
      </w:r>
    </w:p>
    <w:p w14:paraId="63873FAC" w14:textId="2FB9FB4D" w:rsidR="002071A0" w:rsidRDefault="002071A0" w:rsidP="002071A0">
      <w:pPr>
        <w:pStyle w:val="ListParagraph"/>
        <w:keepNext/>
        <w:keepLines/>
        <w:numPr>
          <w:ilvl w:val="1"/>
          <w:numId w:val="38"/>
        </w:numPr>
        <w:overflowPunct w:val="0"/>
        <w:autoSpaceDE w:val="0"/>
        <w:autoSpaceDN w:val="0"/>
        <w:adjustRightInd w:val="0"/>
        <w:spacing w:after="0"/>
        <w:rPr>
          <w:lang w:eastAsia="en-US"/>
        </w:rPr>
      </w:pPr>
      <w:r>
        <w:rPr>
          <w:b/>
          <w:bCs/>
          <w:lang w:eastAsia="en-US"/>
        </w:rPr>
        <w:t xml:space="preserve">UE supporting </w:t>
      </w:r>
      <w:r w:rsidRPr="002071A0">
        <w:rPr>
          <w:b/>
          <w:bCs/>
          <w:i/>
          <w:iCs/>
          <w:lang w:eastAsia="en-US"/>
        </w:rPr>
        <w:t>eutra-NeedforGapNCSG-reporting</w:t>
      </w:r>
      <w:r>
        <w:rPr>
          <w:b/>
          <w:bCs/>
          <w:lang w:eastAsia="en-US"/>
        </w:rPr>
        <w:t xml:space="preserve"> can report via </w:t>
      </w:r>
      <w:r w:rsidRPr="00B239EB">
        <w:rPr>
          <w:b/>
          <w:bCs/>
          <w:i/>
          <w:iCs/>
          <w:lang w:eastAsia="en-US"/>
        </w:rPr>
        <w:t>NeedforNCSg-InfoEUTRAN</w:t>
      </w:r>
      <w:r w:rsidR="009321B1">
        <w:rPr>
          <w:b/>
          <w:bCs/>
          <w:i/>
          <w:iCs/>
          <w:lang w:eastAsia="en-US"/>
        </w:rPr>
        <w:t xml:space="preserve"> IE.</w:t>
      </w: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1BEBFF23" w14:textId="4FF6B462" w:rsidR="00944DED" w:rsidRDefault="00944DED" w:rsidP="00944DED">
      <w:r>
        <w:t xml:space="preserve">[1] </w:t>
      </w:r>
      <w:r w:rsidR="00323299" w:rsidRPr="00323299">
        <w:rPr>
          <w:rFonts w:eastAsia="Times New Roman"/>
        </w:rPr>
        <w:t>R4-2210588</w:t>
      </w:r>
      <w:r w:rsidR="00D93B33">
        <w:rPr>
          <w:rFonts w:eastAsia="Times New Roman"/>
        </w:rPr>
        <w:t>,</w:t>
      </w:r>
      <w:r>
        <w:t xml:space="preserve"> </w:t>
      </w:r>
      <w:r w:rsidR="00595924">
        <w:t>WF on NCSG</w:t>
      </w:r>
      <w:r>
        <w:t xml:space="preserve">, </w:t>
      </w:r>
      <w:r w:rsidR="00595924">
        <w:t>Apple</w:t>
      </w:r>
      <w:r>
        <w:t>, RAN4 #10</w:t>
      </w:r>
      <w:r w:rsidR="00595924">
        <w:t>3</w:t>
      </w:r>
      <w:r>
        <w:t>-e</w:t>
      </w:r>
    </w:p>
    <w:p w14:paraId="57121ED8" w14:textId="48707638" w:rsidR="00D93B33" w:rsidRPr="00D93B33" w:rsidRDefault="007D6925" w:rsidP="00D93B33">
      <w:pPr>
        <w:rPr>
          <w:rFonts w:eastAsia="Times New Roman"/>
        </w:rPr>
      </w:pPr>
      <w:r>
        <w:t xml:space="preserve">[2] </w:t>
      </w:r>
      <w:r w:rsidR="00EC55BB" w:rsidRPr="00EC55BB">
        <w:rPr>
          <w:rFonts w:eastAsia="Times New Roman"/>
        </w:rPr>
        <w:t>R2-2206642</w:t>
      </w:r>
      <w:r w:rsidR="00D93B33">
        <w:rPr>
          <w:rFonts w:eastAsia="Times New Roman"/>
        </w:rPr>
        <w:t xml:space="preserve">, </w:t>
      </w:r>
      <w:r w:rsidR="00D93B33" w:rsidRPr="00D93B33">
        <w:rPr>
          <w:rFonts w:eastAsia="Times New Roman"/>
        </w:rPr>
        <w:t>UE capability bit to support 2 per-UE gap only for UE concurrent gap</w:t>
      </w:r>
      <w:r w:rsidR="00D93B33">
        <w:rPr>
          <w:rFonts w:eastAsia="Times New Roman"/>
        </w:rPr>
        <w:t xml:space="preserve">, Intel, RAN2 </w:t>
      </w:r>
      <w:r w:rsidR="00B97A1D">
        <w:rPr>
          <w:rFonts w:eastAsia="Times New Roman"/>
        </w:rPr>
        <w:t>#</w:t>
      </w:r>
      <w:r w:rsidR="00C0287D">
        <w:rPr>
          <w:rFonts w:eastAsia="Times New Roman"/>
        </w:rPr>
        <w:t>118-e</w:t>
      </w:r>
    </w:p>
    <w:p w14:paraId="363A134A" w14:textId="6D362367" w:rsidR="00EC55BB" w:rsidRDefault="00EC55BB" w:rsidP="00EC55BB">
      <w:pPr>
        <w:widowControl w:val="0"/>
        <w:tabs>
          <w:tab w:val="right" w:pos="9639"/>
        </w:tabs>
        <w:spacing w:after="0"/>
        <w:rPr>
          <w:rFonts w:ascii="Arial" w:hAnsi="Arial" w:cs="Arial"/>
          <w:b/>
          <w:bCs/>
          <w:color w:val="000000"/>
          <w:sz w:val="26"/>
          <w:szCs w:val="26"/>
        </w:rPr>
      </w:pPr>
    </w:p>
    <w:p w14:paraId="528ECC2D" w14:textId="6D02C8F5" w:rsidR="007D6925" w:rsidRDefault="007D6925" w:rsidP="00944DED"/>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F1D4A" w14:textId="77777777" w:rsidR="00DF6B35" w:rsidRDefault="00DF6B35" w:rsidP="009939B7">
      <w:pPr>
        <w:spacing w:after="0"/>
      </w:pPr>
      <w:r>
        <w:separator/>
      </w:r>
    </w:p>
  </w:endnote>
  <w:endnote w:type="continuationSeparator" w:id="0">
    <w:p w14:paraId="49F2596E" w14:textId="77777777" w:rsidR="00DF6B35" w:rsidRDefault="00DF6B35" w:rsidP="009939B7">
      <w:pPr>
        <w:spacing w:after="0"/>
      </w:pPr>
      <w:r>
        <w:continuationSeparator/>
      </w:r>
    </w:p>
  </w:endnote>
  <w:endnote w:type="continuationNotice" w:id="1">
    <w:p w14:paraId="303AB9FC" w14:textId="77777777" w:rsidR="00DF6B35" w:rsidRDefault="00DF6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0CF7F" w14:textId="77777777" w:rsidR="00DF6B35" w:rsidRDefault="00DF6B35" w:rsidP="009939B7">
      <w:pPr>
        <w:spacing w:after="0"/>
      </w:pPr>
      <w:r>
        <w:separator/>
      </w:r>
    </w:p>
  </w:footnote>
  <w:footnote w:type="continuationSeparator" w:id="0">
    <w:p w14:paraId="71E6B1BC" w14:textId="77777777" w:rsidR="00DF6B35" w:rsidRDefault="00DF6B35" w:rsidP="009939B7">
      <w:pPr>
        <w:spacing w:after="0"/>
      </w:pPr>
      <w:r>
        <w:continuationSeparator/>
      </w:r>
    </w:p>
  </w:footnote>
  <w:footnote w:type="continuationNotice" w:id="1">
    <w:p w14:paraId="62FDBA29" w14:textId="77777777" w:rsidR="00DF6B35" w:rsidRDefault="00DF6B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2BD"/>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B47598"/>
    <w:multiLevelType w:val="multilevel"/>
    <w:tmpl w:val="0E22AF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BF7612"/>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05546E3"/>
    <w:multiLevelType w:val="hybridMultilevel"/>
    <w:tmpl w:val="13CCF954"/>
    <w:lvl w:ilvl="0" w:tplc="584AA07A">
      <w:start w:val="2"/>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4E67EB1"/>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43589A"/>
    <w:multiLevelType w:val="hybridMultilevel"/>
    <w:tmpl w:val="4776E296"/>
    <w:lvl w:ilvl="0" w:tplc="B7CCB16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64A61"/>
    <w:multiLevelType w:val="hybridMultilevel"/>
    <w:tmpl w:val="6E84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E50E9"/>
    <w:multiLevelType w:val="hybridMultilevel"/>
    <w:tmpl w:val="0848F95E"/>
    <w:lvl w:ilvl="0" w:tplc="570283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660FE"/>
    <w:multiLevelType w:val="hybridMultilevel"/>
    <w:tmpl w:val="6608BBCC"/>
    <w:lvl w:ilvl="0" w:tplc="19A8884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807B3"/>
    <w:multiLevelType w:val="hybridMultilevel"/>
    <w:tmpl w:val="16CC137C"/>
    <w:lvl w:ilvl="0" w:tplc="C1FC7B4A">
      <w:start w:val="1"/>
      <w:numFmt w:val="bullet"/>
      <w:lvlText w:val="•"/>
      <w:lvlJc w:val="left"/>
      <w:pPr>
        <w:tabs>
          <w:tab w:val="num" w:pos="720"/>
        </w:tabs>
        <w:ind w:left="720" w:hanging="360"/>
      </w:pPr>
      <w:rPr>
        <w:rFonts w:ascii="Microsoft Sans Serif" w:hAnsi="Microsoft Sans Serif" w:hint="default"/>
      </w:rPr>
    </w:lvl>
    <w:lvl w:ilvl="1" w:tplc="36025386">
      <w:start w:val="1"/>
      <w:numFmt w:val="bullet"/>
      <w:lvlText w:val="•"/>
      <w:lvlJc w:val="left"/>
      <w:pPr>
        <w:tabs>
          <w:tab w:val="num" w:pos="1440"/>
        </w:tabs>
        <w:ind w:left="1440" w:hanging="360"/>
      </w:pPr>
      <w:rPr>
        <w:rFonts w:ascii="Microsoft Sans Serif" w:hAnsi="Microsoft Sans Serif" w:hint="default"/>
      </w:rPr>
    </w:lvl>
    <w:lvl w:ilvl="2" w:tplc="D21272F0">
      <w:start w:val="1"/>
      <w:numFmt w:val="bullet"/>
      <w:lvlText w:val="•"/>
      <w:lvlJc w:val="left"/>
      <w:pPr>
        <w:tabs>
          <w:tab w:val="num" w:pos="2160"/>
        </w:tabs>
        <w:ind w:left="2160" w:hanging="360"/>
      </w:pPr>
      <w:rPr>
        <w:rFonts w:ascii="Microsoft Sans Serif" w:hAnsi="Microsoft Sans Serif" w:hint="default"/>
      </w:rPr>
    </w:lvl>
    <w:lvl w:ilvl="3" w:tplc="D2ACB6A0" w:tentative="1">
      <w:start w:val="1"/>
      <w:numFmt w:val="bullet"/>
      <w:lvlText w:val="•"/>
      <w:lvlJc w:val="left"/>
      <w:pPr>
        <w:tabs>
          <w:tab w:val="num" w:pos="2880"/>
        </w:tabs>
        <w:ind w:left="2880" w:hanging="360"/>
      </w:pPr>
      <w:rPr>
        <w:rFonts w:ascii="Microsoft Sans Serif" w:hAnsi="Microsoft Sans Serif" w:hint="default"/>
      </w:rPr>
    </w:lvl>
    <w:lvl w:ilvl="4" w:tplc="9EEEA096" w:tentative="1">
      <w:start w:val="1"/>
      <w:numFmt w:val="bullet"/>
      <w:lvlText w:val="•"/>
      <w:lvlJc w:val="left"/>
      <w:pPr>
        <w:tabs>
          <w:tab w:val="num" w:pos="3600"/>
        </w:tabs>
        <w:ind w:left="3600" w:hanging="360"/>
      </w:pPr>
      <w:rPr>
        <w:rFonts w:ascii="Microsoft Sans Serif" w:hAnsi="Microsoft Sans Serif" w:hint="default"/>
      </w:rPr>
    </w:lvl>
    <w:lvl w:ilvl="5" w:tplc="219CCEF0" w:tentative="1">
      <w:start w:val="1"/>
      <w:numFmt w:val="bullet"/>
      <w:lvlText w:val="•"/>
      <w:lvlJc w:val="left"/>
      <w:pPr>
        <w:tabs>
          <w:tab w:val="num" w:pos="4320"/>
        </w:tabs>
        <w:ind w:left="4320" w:hanging="360"/>
      </w:pPr>
      <w:rPr>
        <w:rFonts w:ascii="Microsoft Sans Serif" w:hAnsi="Microsoft Sans Serif" w:hint="default"/>
      </w:rPr>
    </w:lvl>
    <w:lvl w:ilvl="6" w:tplc="7354BA5A" w:tentative="1">
      <w:start w:val="1"/>
      <w:numFmt w:val="bullet"/>
      <w:lvlText w:val="•"/>
      <w:lvlJc w:val="left"/>
      <w:pPr>
        <w:tabs>
          <w:tab w:val="num" w:pos="5040"/>
        </w:tabs>
        <w:ind w:left="5040" w:hanging="360"/>
      </w:pPr>
      <w:rPr>
        <w:rFonts w:ascii="Microsoft Sans Serif" w:hAnsi="Microsoft Sans Serif" w:hint="default"/>
      </w:rPr>
    </w:lvl>
    <w:lvl w:ilvl="7" w:tplc="7DC448D4" w:tentative="1">
      <w:start w:val="1"/>
      <w:numFmt w:val="bullet"/>
      <w:lvlText w:val="•"/>
      <w:lvlJc w:val="left"/>
      <w:pPr>
        <w:tabs>
          <w:tab w:val="num" w:pos="5760"/>
        </w:tabs>
        <w:ind w:left="5760" w:hanging="360"/>
      </w:pPr>
      <w:rPr>
        <w:rFonts w:ascii="Microsoft Sans Serif" w:hAnsi="Microsoft Sans Serif" w:hint="default"/>
      </w:rPr>
    </w:lvl>
    <w:lvl w:ilvl="8" w:tplc="815C30CA"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5D7E43"/>
    <w:multiLevelType w:val="hybridMultilevel"/>
    <w:tmpl w:val="B69E7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354F7"/>
    <w:multiLevelType w:val="hybridMultilevel"/>
    <w:tmpl w:val="3780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6E5798"/>
    <w:multiLevelType w:val="hybridMultilevel"/>
    <w:tmpl w:val="A39049A2"/>
    <w:lvl w:ilvl="0" w:tplc="7AF4724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2148"/>
    <w:multiLevelType w:val="hybridMultilevel"/>
    <w:tmpl w:val="7B8ACB7E"/>
    <w:lvl w:ilvl="0" w:tplc="FC3076D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7574DB"/>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6F5549"/>
    <w:multiLevelType w:val="multilevel"/>
    <w:tmpl w:val="115A06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E059B8"/>
    <w:multiLevelType w:val="hybridMultilevel"/>
    <w:tmpl w:val="4BAE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336E9C"/>
    <w:multiLevelType w:val="hybridMultilevel"/>
    <w:tmpl w:val="E60CF620"/>
    <w:lvl w:ilvl="0" w:tplc="56E89F0A">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57CAC"/>
    <w:multiLevelType w:val="hybridMultilevel"/>
    <w:tmpl w:val="C0900ED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F4C55C4"/>
    <w:multiLevelType w:val="hybridMultilevel"/>
    <w:tmpl w:val="61A46C2C"/>
    <w:lvl w:ilvl="0" w:tplc="302EC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B320AE"/>
    <w:multiLevelType w:val="hybridMultilevel"/>
    <w:tmpl w:val="F7AC2CA4"/>
    <w:lvl w:ilvl="0" w:tplc="6BF05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8248B0"/>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9056B9"/>
    <w:multiLevelType w:val="hybridMultilevel"/>
    <w:tmpl w:val="B1709DD8"/>
    <w:lvl w:ilvl="0" w:tplc="F594B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B6D21B9"/>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F7866"/>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1325A8"/>
    <w:multiLevelType w:val="hybridMultilevel"/>
    <w:tmpl w:val="CCECE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6"/>
  </w:num>
  <w:num w:numId="3">
    <w:abstractNumId w:val="46"/>
  </w:num>
  <w:num w:numId="4">
    <w:abstractNumId w:val="26"/>
  </w:num>
  <w:num w:numId="5">
    <w:abstractNumId w:val="45"/>
  </w:num>
  <w:num w:numId="6">
    <w:abstractNumId w:val="29"/>
  </w:num>
  <w:num w:numId="7">
    <w:abstractNumId w:val="13"/>
  </w:num>
  <w:num w:numId="8">
    <w:abstractNumId w:val="33"/>
  </w:num>
  <w:num w:numId="9">
    <w:abstractNumId w:val="42"/>
  </w:num>
  <w:num w:numId="10">
    <w:abstractNumId w:val="22"/>
  </w:num>
  <w:num w:numId="11">
    <w:abstractNumId w:val="44"/>
  </w:num>
  <w:num w:numId="12">
    <w:abstractNumId w:val="41"/>
  </w:num>
  <w:num w:numId="13">
    <w:abstractNumId w:val="15"/>
  </w:num>
  <w:num w:numId="14">
    <w:abstractNumId w:val="40"/>
  </w:num>
  <w:num w:numId="15">
    <w:abstractNumId w:val="30"/>
  </w:num>
  <w:num w:numId="16">
    <w:abstractNumId w:val="12"/>
  </w:num>
  <w:num w:numId="17">
    <w:abstractNumId w:val="2"/>
  </w:num>
  <w:num w:numId="18">
    <w:abstractNumId w:val="35"/>
  </w:num>
  <w:num w:numId="19">
    <w:abstractNumId w:val="8"/>
  </w:num>
  <w:num w:numId="20">
    <w:abstractNumId w:val="4"/>
  </w:num>
  <w:num w:numId="21">
    <w:abstractNumId w:val="19"/>
  </w:num>
  <w:num w:numId="22">
    <w:abstractNumId w:val="4"/>
  </w:num>
  <w:num w:numId="23">
    <w:abstractNumId w:val="9"/>
  </w:num>
  <w:num w:numId="24">
    <w:abstractNumId w:val="7"/>
  </w:num>
  <w:num w:numId="25">
    <w:abstractNumId w:val="11"/>
  </w:num>
  <w:num w:numId="26">
    <w:abstractNumId w:val="18"/>
  </w:num>
  <w:num w:numId="27">
    <w:abstractNumId w:val="28"/>
  </w:num>
  <w:num w:numId="28">
    <w:abstractNumId w:val="31"/>
  </w:num>
  <w:num w:numId="29">
    <w:abstractNumId w:val="27"/>
  </w:num>
  <w:num w:numId="30">
    <w:abstractNumId w:val="21"/>
  </w:num>
  <w:num w:numId="31">
    <w:abstractNumId w:val="1"/>
  </w:num>
  <w:num w:numId="32">
    <w:abstractNumId w:val="3"/>
  </w:num>
  <w:num w:numId="33">
    <w:abstractNumId w:val="5"/>
  </w:num>
  <w:num w:numId="34">
    <w:abstractNumId w:val="16"/>
  </w:num>
  <w:num w:numId="35">
    <w:abstractNumId w:val="17"/>
  </w:num>
  <w:num w:numId="36">
    <w:abstractNumId w:val="38"/>
  </w:num>
  <w:num w:numId="37">
    <w:abstractNumId w:val="32"/>
  </w:num>
  <w:num w:numId="38">
    <w:abstractNumId w:val="37"/>
  </w:num>
  <w:num w:numId="39">
    <w:abstractNumId w:val="25"/>
  </w:num>
  <w:num w:numId="40">
    <w:abstractNumId w:val="10"/>
  </w:num>
  <w:num w:numId="41">
    <w:abstractNumId w:val="24"/>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0"/>
  </w:num>
  <w:num w:numId="45">
    <w:abstractNumId w:val="0"/>
  </w:num>
  <w:num w:numId="46">
    <w:abstractNumId w:val="23"/>
  </w:num>
  <w:num w:numId="47">
    <w:abstractNumId w:val="43"/>
  </w:num>
  <w:num w:numId="48">
    <w:abstractNumId w:val="14"/>
  </w:num>
  <w:num w:numId="49">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80A"/>
    <w:rsid w:val="00003795"/>
    <w:rsid w:val="00003E43"/>
    <w:rsid w:val="00003F04"/>
    <w:rsid w:val="000043E9"/>
    <w:rsid w:val="00004CE5"/>
    <w:rsid w:val="00006E1A"/>
    <w:rsid w:val="0000700D"/>
    <w:rsid w:val="00007B81"/>
    <w:rsid w:val="00007BBF"/>
    <w:rsid w:val="00010BA4"/>
    <w:rsid w:val="00010DC6"/>
    <w:rsid w:val="00011944"/>
    <w:rsid w:val="00011CEC"/>
    <w:rsid w:val="0001267C"/>
    <w:rsid w:val="00012A0E"/>
    <w:rsid w:val="00012D26"/>
    <w:rsid w:val="00012EDA"/>
    <w:rsid w:val="0001393B"/>
    <w:rsid w:val="00013AC3"/>
    <w:rsid w:val="000149C4"/>
    <w:rsid w:val="00015CE7"/>
    <w:rsid w:val="00016A6A"/>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439"/>
    <w:rsid w:val="00024815"/>
    <w:rsid w:val="00024BAC"/>
    <w:rsid w:val="00025800"/>
    <w:rsid w:val="000262B9"/>
    <w:rsid w:val="0002638C"/>
    <w:rsid w:val="000279F4"/>
    <w:rsid w:val="00030B09"/>
    <w:rsid w:val="00030DE7"/>
    <w:rsid w:val="00032669"/>
    <w:rsid w:val="00032BA2"/>
    <w:rsid w:val="00032C7D"/>
    <w:rsid w:val="00032CB5"/>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883"/>
    <w:rsid w:val="00073ED8"/>
    <w:rsid w:val="00074F4A"/>
    <w:rsid w:val="00075743"/>
    <w:rsid w:val="00075923"/>
    <w:rsid w:val="00077082"/>
    <w:rsid w:val="000773E2"/>
    <w:rsid w:val="0007787B"/>
    <w:rsid w:val="00077EB3"/>
    <w:rsid w:val="000815DF"/>
    <w:rsid w:val="00081CB8"/>
    <w:rsid w:val="0008273A"/>
    <w:rsid w:val="00082938"/>
    <w:rsid w:val="00082CE7"/>
    <w:rsid w:val="000831CC"/>
    <w:rsid w:val="000841FD"/>
    <w:rsid w:val="00084860"/>
    <w:rsid w:val="00085545"/>
    <w:rsid w:val="00085B70"/>
    <w:rsid w:val="000862A4"/>
    <w:rsid w:val="00086EE6"/>
    <w:rsid w:val="00086F92"/>
    <w:rsid w:val="00087B6B"/>
    <w:rsid w:val="000908D9"/>
    <w:rsid w:val="00091116"/>
    <w:rsid w:val="00091207"/>
    <w:rsid w:val="00092585"/>
    <w:rsid w:val="000928FC"/>
    <w:rsid w:val="00092C30"/>
    <w:rsid w:val="00093510"/>
    <w:rsid w:val="000942C6"/>
    <w:rsid w:val="0009554A"/>
    <w:rsid w:val="00095814"/>
    <w:rsid w:val="000962AA"/>
    <w:rsid w:val="0009652F"/>
    <w:rsid w:val="00096B4F"/>
    <w:rsid w:val="00096C13"/>
    <w:rsid w:val="00096C6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2448"/>
    <w:rsid w:val="000C276C"/>
    <w:rsid w:val="000C2FA4"/>
    <w:rsid w:val="000C4EE8"/>
    <w:rsid w:val="000C529A"/>
    <w:rsid w:val="000C5610"/>
    <w:rsid w:val="000C570A"/>
    <w:rsid w:val="000C678D"/>
    <w:rsid w:val="000C6BFC"/>
    <w:rsid w:val="000C7340"/>
    <w:rsid w:val="000C7457"/>
    <w:rsid w:val="000C79A2"/>
    <w:rsid w:val="000D01AF"/>
    <w:rsid w:val="000D18EC"/>
    <w:rsid w:val="000D1AD2"/>
    <w:rsid w:val="000D244F"/>
    <w:rsid w:val="000D28A3"/>
    <w:rsid w:val="000D3010"/>
    <w:rsid w:val="000D3720"/>
    <w:rsid w:val="000D40F2"/>
    <w:rsid w:val="000D4816"/>
    <w:rsid w:val="000D51E3"/>
    <w:rsid w:val="000D569F"/>
    <w:rsid w:val="000D5A17"/>
    <w:rsid w:val="000D69D1"/>
    <w:rsid w:val="000D6E43"/>
    <w:rsid w:val="000D7700"/>
    <w:rsid w:val="000D7DE9"/>
    <w:rsid w:val="000E0045"/>
    <w:rsid w:val="000E0A10"/>
    <w:rsid w:val="000E1886"/>
    <w:rsid w:val="000E202F"/>
    <w:rsid w:val="000E25D9"/>
    <w:rsid w:val="000E26BD"/>
    <w:rsid w:val="000E3E94"/>
    <w:rsid w:val="000E4512"/>
    <w:rsid w:val="000E5854"/>
    <w:rsid w:val="000E58CC"/>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2FCB"/>
    <w:rsid w:val="0012325B"/>
    <w:rsid w:val="00123649"/>
    <w:rsid w:val="00123B9C"/>
    <w:rsid w:val="00123EF0"/>
    <w:rsid w:val="0012426A"/>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DB4"/>
    <w:rsid w:val="00195E1F"/>
    <w:rsid w:val="001966C3"/>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72BD"/>
    <w:rsid w:val="001F76E9"/>
    <w:rsid w:val="001F7707"/>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1A0"/>
    <w:rsid w:val="00207BD6"/>
    <w:rsid w:val="0021038D"/>
    <w:rsid w:val="00211F64"/>
    <w:rsid w:val="0021396A"/>
    <w:rsid w:val="00213971"/>
    <w:rsid w:val="002139A9"/>
    <w:rsid w:val="00213D28"/>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3C67"/>
    <w:rsid w:val="002248E1"/>
    <w:rsid w:val="0022520D"/>
    <w:rsid w:val="002265A5"/>
    <w:rsid w:val="002265CB"/>
    <w:rsid w:val="0022679D"/>
    <w:rsid w:val="00226835"/>
    <w:rsid w:val="00227A68"/>
    <w:rsid w:val="002302A3"/>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AE1"/>
    <w:rsid w:val="00245C9F"/>
    <w:rsid w:val="00245DC4"/>
    <w:rsid w:val="00245E16"/>
    <w:rsid w:val="00246290"/>
    <w:rsid w:val="00246364"/>
    <w:rsid w:val="0024681F"/>
    <w:rsid w:val="0024768A"/>
    <w:rsid w:val="002476C8"/>
    <w:rsid w:val="00247ABA"/>
    <w:rsid w:val="00247B81"/>
    <w:rsid w:val="00247EEC"/>
    <w:rsid w:val="00250406"/>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8E7"/>
    <w:rsid w:val="002560B8"/>
    <w:rsid w:val="00257544"/>
    <w:rsid w:val="002575A2"/>
    <w:rsid w:val="0025776E"/>
    <w:rsid w:val="00257BF4"/>
    <w:rsid w:val="00257E64"/>
    <w:rsid w:val="00257F0C"/>
    <w:rsid w:val="0026064B"/>
    <w:rsid w:val="00260896"/>
    <w:rsid w:val="002611AF"/>
    <w:rsid w:val="002611B2"/>
    <w:rsid w:val="00261DC1"/>
    <w:rsid w:val="00262282"/>
    <w:rsid w:val="00262987"/>
    <w:rsid w:val="00262C0C"/>
    <w:rsid w:val="00262FF2"/>
    <w:rsid w:val="00262FF4"/>
    <w:rsid w:val="002633F8"/>
    <w:rsid w:val="00263F72"/>
    <w:rsid w:val="00264730"/>
    <w:rsid w:val="00265EA2"/>
    <w:rsid w:val="00266B47"/>
    <w:rsid w:val="002672CE"/>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8FE"/>
    <w:rsid w:val="002A09DE"/>
    <w:rsid w:val="002A0E0C"/>
    <w:rsid w:val="002A116B"/>
    <w:rsid w:val="002A1248"/>
    <w:rsid w:val="002A1275"/>
    <w:rsid w:val="002A13BB"/>
    <w:rsid w:val="002A1C01"/>
    <w:rsid w:val="002A1CA4"/>
    <w:rsid w:val="002A1EB2"/>
    <w:rsid w:val="002A24AD"/>
    <w:rsid w:val="002A2526"/>
    <w:rsid w:val="002A363C"/>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AB"/>
    <w:rsid w:val="002D0CD0"/>
    <w:rsid w:val="002D0E07"/>
    <w:rsid w:val="002D10A7"/>
    <w:rsid w:val="002D16AF"/>
    <w:rsid w:val="002D2678"/>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353"/>
    <w:rsid w:val="002E37E8"/>
    <w:rsid w:val="002E385A"/>
    <w:rsid w:val="002E4272"/>
    <w:rsid w:val="002E515D"/>
    <w:rsid w:val="002E5531"/>
    <w:rsid w:val="002E7011"/>
    <w:rsid w:val="002E7A34"/>
    <w:rsid w:val="002F0FC5"/>
    <w:rsid w:val="002F16B8"/>
    <w:rsid w:val="002F1C8C"/>
    <w:rsid w:val="002F1F72"/>
    <w:rsid w:val="002F28ED"/>
    <w:rsid w:val="002F2E44"/>
    <w:rsid w:val="002F2E4A"/>
    <w:rsid w:val="002F3077"/>
    <w:rsid w:val="002F57EA"/>
    <w:rsid w:val="002F5B27"/>
    <w:rsid w:val="002F5EA4"/>
    <w:rsid w:val="002F66A2"/>
    <w:rsid w:val="002F6B07"/>
    <w:rsid w:val="002F70C7"/>
    <w:rsid w:val="002F7590"/>
    <w:rsid w:val="0030034C"/>
    <w:rsid w:val="0030039F"/>
    <w:rsid w:val="00300510"/>
    <w:rsid w:val="00300B85"/>
    <w:rsid w:val="00301E3A"/>
    <w:rsid w:val="00302029"/>
    <w:rsid w:val="00302386"/>
    <w:rsid w:val="003026B7"/>
    <w:rsid w:val="00302B41"/>
    <w:rsid w:val="00302E72"/>
    <w:rsid w:val="00303280"/>
    <w:rsid w:val="0030349F"/>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299"/>
    <w:rsid w:val="00323487"/>
    <w:rsid w:val="00323647"/>
    <w:rsid w:val="00324198"/>
    <w:rsid w:val="00324260"/>
    <w:rsid w:val="00324D06"/>
    <w:rsid w:val="003250AD"/>
    <w:rsid w:val="00326524"/>
    <w:rsid w:val="00326685"/>
    <w:rsid w:val="00326AA4"/>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5188"/>
    <w:rsid w:val="003461A5"/>
    <w:rsid w:val="0034635A"/>
    <w:rsid w:val="003472A9"/>
    <w:rsid w:val="003476B3"/>
    <w:rsid w:val="00350A2E"/>
    <w:rsid w:val="00350AFC"/>
    <w:rsid w:val="00350B8F"/>
    <w:rsid w:val="00351661"/>
    <w:rsid w:val="00351C65"/>
    <w:rsid w:val="00351CD3"/>
    <w:rsid w:val="00352119"/>
    <w:rsid w:val="00352D80"/>
    <w:rsid w:val="00353063"/>
    <w:rsid w:val="00353166"/>
    <w:rsid w:val="00353730"/>
    <w:rsid w:val="00353BF9"/>
    <w:rsid w:val="00353C9D"/>
    <w:rsid w:val="003541A1"/>
    <w:rsid w:val="0035420C"/>
    <w:rsid w:val="0035466F"/>
    <w:rsid w:val="00354888"/>
    <w:rsid w:val="00355968"/>
    <w:rsid w:val="003560EF"/>
    <w:rsid w:val="00356700"/>
    <w:rsid w:val="003567AB"/>
    <w:rsid w:val="0035713D"/>
    <w:rsid w:val="00360B6A"/>
    <w:rsid w:val="00360EB4"/>
    <w:rsid w:val="00360FAE"/>
    <w:rsid w:val="00362532"/>
    <w:rsid w:val="00362B50"/>
    <w:rsid w:val="00362C53"/>
    <w:rsid w:val="00362E5A"/>
    <w:rsid w:val="00363309"/>
    <w:rsid w:val="0036399B"/>
    <w:rsid w:val="00363A08"/>
    <w:rsid w:val="003640DF"/>
    <w:rsid w:val="003644CA"/>
    <w:rsid w:val="00364E13"/>
    <w:rsid w:val="00364F5B"/>
    <w:rsid w:val="00365CDD"/>
    <w:rsid w:val="003662E5"/>
    <w:rsid w:val="00366435"/>
    <w:rsid w:val="003665F7"/>
    <w:rsid w:val="00366F54"/>
    <w:rsid w:val="0036768B"/>
    <w:rsid w:val="00367B3C"/>
    <w:rsid w:val="003746FE"/>
    <w:rsid w:val="0037487E"/>
    <w:rsid w:val="0037520A"/>
    <w:rsid w:val="00375AA5"/>
    <w:rsid w:val="00375BB0"/>
    <w:rsid w:val="00375E6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79E"/>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F045F"/>
    <w:rsid w:val="003F0660"/>
    <w:rsid w:val="003F0CE2"/>
    <w:rsid w:val="003F0F54"/>
    <w:rsid w:val="003F1350"/>
    <w:rsid w:val="003F13B7"/>
    <w:rsid w:val="003F1793"/>
    <w:rsid w:val="003F1B89"/>
    <w:rsid w:val="003F203B"/>
    <w:rsid w:val="003F239E"/>
    <w:rsid w:val="003F2F25"/>
    <w:rsid w:val="003F489A"/>
    <w:rsid w:val="003F4FF8"/>
    <w:rsid w:val="003F5141"/>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73B0"/>
    <w:rsid w:val="0042774F"/>
    <w:rsid w:val="004302FD"/>
    <w:rsid w:val="004303A5"/>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3A5"/>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6BF"/>
    <w:rsid w:val="00447717"/>
    <w:rsid w:val="004504C9"/>
    <w:rsid w:val="0045276E"/>
    <w:rsid w:val="00453576"/>
    <w:rsid w:val="00453BD8"/>
    <w:rsid w:val="00453C1A"/>
    <w:rsid w:val="00453D36"/>
    <w:rsid w:val="00453F76"/>
    <w:rsid w:val="004541E5"/>
    <w:rsid w:val="0045428D"/>
    <w:rsid w:val="004544D6"/>
    <w:rsid w:val="00454640"/>
    <w:rsid w:val="004548AB"/>
    <w:rsid w:val="00455618"/>
    <w:rsid w:val="00455EFF"/>
    <w:rsid w:val="004563EB"/>
    <w:rsid w:val="00456532"/>
    <w:rsid w:val="004571E9"/>
    <w:rsid w:val="00457F94"/>
    <w:rsid w:val="00460559"/>
    <w:rsid w:val="00460780"/>
    <w:rsid w:val="004609D7"/>
    <w:rsid w:val="00461C87"/>
    <w:rsid w:val="00461D6A"/>
    <w:rsid w:val="00461D8F"/>
    <w:rsid w:val="00462017"/>
    <w:rsid w:val="0046237A"/>
    <w:rsid w:val="00462670"/>
    <w:rsid w:val="00462810"/>
    <w:rsid w:val="004631E3"/>
    <w:rsid w:val="00463876"/>
    <w:rsid w:val="00463C01"/>
    <w:rsid w:val="00463D12"/>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5B3"/>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68EE"/>
    <w:rsid w:val="00496F77"/>
    <w:rsid w:val="00496FBC"/>
    <w:rsid w:val="004972C2"/>
    <w:rsid w:val="004976DB"/>
    <w:rsid w:val="004A03C6"/>
    <w:rsid w:val="004A1009"/>
    <w:rsid w:val="004A12D1"/>
    <w:rsid w:val="004A12D8"/>
    <w:rsid w:val="004A25E2"/>
    <w:rsid w:val="004A3685"/>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1952"/>
    <w:rsid w:val="004E290C"/>
    <w:rsid w:val="004E32D7"/>
    <w:rsid w:val="004E34E5"/>
    <w:rsid w:val="004E5336"/>
    <w:rsid w:val="004E7381"/>
    <w:rsid w:val="004E7731"/>
    <w:rsid w:val="004E7BC1"/>
    <w:rsid w:val="004E7E9B"/>
    <w:rsid w:val="004F0216"/>
    <w:rsid w:val="004F12D3"/>
    <w:rsid w:val="004F1680"/>
    <w:rsid w:val="004F2126"/>
    <w:rsid w:val="004F262D"/>
    <w:rsid w:val="004F298E"/>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0A60"/>
    <w:rsid w:val="005116D8"/>
    <w:rsid w:val="005117C0"/>
    <w:rsid w:val="005120C4"/>
    <w:rsid w:val="005120CB"/>
    <w:rsid w:val="005120D5"/>
    <w:rsid w:val="00512121"/>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1E1"/>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6C1"/>
    <w:rsid w:val="0053571A"/>
    <w:rsid w:val="005359FD"/>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5181"/>
    <w:rsid w:val="00545895"/>
    <w:rsid w:val="00545D9C"/>
    <w:rsid w:val="00546464"/>
    <w:rsid w:val="005474B6"/>
    <w:rsid w:val="005501DA"/>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40FA"/>
    <w:rsid w:val="005842F3"/>
    <w:rsid w:val="00584E2D"/>
    <w:rsid w:val="00585940"/>
    <w:rsid w:val="00585C9B"/>
    <w:rsid w:val="0058665D"/>
    <w:rsid w:val="0058694D"/>
    <w:rsid w:val="005904FD"/>
    <w:rsid w:val="0059063F"/>
    <w:rsid w:val="00590802"/>
    <w:rsid w:val="00590F86"/>
    <w:rsid w:val="00591D48"/>
    <w:rsid w:val="005923E2"/>
    <w:rsid w:val="0059257A"/>
    <w:rsid w:val="00592BE6"/>
    <w:rsid w:val="00592D01"/>
    <w:rsid w:val="005932FD"/>
    <w:rsid w:val="0059379A"/>
    <w:rsid w:val="0059430B"/>
    <w:rsid w:val="00594C46"/>
    <w:rsid w:val="00595456"/>
    <w:rsid w:val="00595924"/>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993"/>
    <w:rsid w:val="005B2CB7"/>
    <w:rsid w:val="005B2EB1"/>
    <w:rsid w:val="005B2FFD"/>
    <w:rsid w:val="005B40A3"/>
    <w:rsid w:val="005B42C6"/>
    <w:rsid w:val="005B4A1E"/>
    <w:rsid w:val="005B4A28"/>
    <w:rsid w:val="005B4AD4"/>
    <w:rsid w:val="005B4C8E"/>
    <w:rsid w:val="005B52E4"/>
    <w:rsid w:val="005B5DA7"/>
    <w:rsid w:val="005B6427"/>
    <w:rsid w:val="005B659B"/>
    <w:rsid w:val="005B6CE8"/>
    <w:rsid w:val="005B7028"/>
    <w:rsid w:val="005B7BBC"/>
    <w:rsid w:val="005B7C20"/>
    <w:rsid w:val="005C006C"/>
    <w:rsid w:val="005C0F22"/>
    <w:rsid w:val="005C1E34"/>
    <w:rsid w:val="005C2E82"/>
    <w:rsid w:val="005C312F"/>
    <w:rsid w:val="005C3472"/>
    <w:rsid w:val="005C3B82"/>
    <w:rsid w:val="005C4386"/>
    <w:rsid w:val="005C452C"/>
    <w:rsid w:val="005C4B90"/>
    <w:rsid w:val="005C50B8"/>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B0B"/>
    <w:rsid w:val="005E30EC"/>
    <w:rsid w:val="005E32E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5827"/>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F3B"/>
    <w:rsid w:val="00616060"/>
    <w:rsid w:val="00616066"/>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A"/>
    <w:rsid w:val="00663E54"/>
    <w:rsid w:val="006640BF"/>
    <w:rsid w:val="00664646"/>
    <w:rsid w:val="00664963"/>
    <w:rsid w:val="00665311"/>
    <w:rsid w:val="00665609"/>
    <w:rsid w:val="00665848"/>
    <w:rsid w:val="006659D9"/>
    <w:rsid w:val="00665F2E"/>
    <w:rsid w:val="00666616"/>
    <w:rsid w:val="0066674C"/>
    <w:rsid w:val="0066761D"/>
    <w:rsid w:val="00667BD9"/>
    <w:rsid w:val="00667E35"/>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7FC"/>
    <w:rsid w:val="00681A4D"/>
    <w:rsid w:val="00681FA7"/>
    <w:rsid w:val="006834CE"/>
    <w:rsid w:val="006838F6"/>
    <w:rsid w:val="0068472C"/>
    <w:rsid w:val="00684C04"/>
    <w:rsid w:val="00684E32"/>
    <w:rsid w:val="00685CEC"/>
    <w:rsid w:val="00685F02"/>
    <w:rsid w:val="0068683F"/>
    <w:rsid w:val="00686884"/>
    <w:rsid w:val="006873F0"/>
    <w:rsid w:val="00690A27"/>
    <w:rsid w:val="00691155"/>
    <w:rsid w:val="00691500"/>
    <w:rsid w:val="0069297E"/>
    <w:rsid w:val="00692B95"/>
    <w:rsid w:val="00693267"/>
    <w:rsid w:val="00693591"/>
    <w:rsid w:val="006938C3"/>
    <w:rsid w:val="0069460E"/>
    <w:rsid w:val="00694771"/>
    <w:rsid w:val="006958A5"/>
    <w:rsid w:val="00695F3B"/>
    <w:rsid w:val="00696269"/>
    <w:rsid w:val="006963D0"/>
    <w:rsid w:val="00696F66"/>
    <w:rsid w:val="006A0127"/>
    <w:rsid w:val="006A1583"/>
    <w:rsid w:val="006A1B1A"/>
    <w:rsid w:val="006A2034"/>
    <w:rsid w:val="006A27D3"/>
    <w:rsid w:val="006A27D6"/>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A9F"/>
    <w:rsid w:val="006E0DB2"/>
    <w:rsid w:val="006E0EEE"/>
    <w:rsid w:val="006E1235"/>
    <w:rsid w:val="006E1992"/>
    <w:rsid w:val="006E1A86"/>
    <w:rsid w:val="006E274D"/>
    <w:rsid w:val="006E2FE4"/>
    <w:rsid w:val="006E3ECC"/>
    <w:rsid w:val="006E444D"/>
    <w:rsid w:val="006E4523"/>
    <w:rsid w:val="006E5D06"/>
    <w:rsid w:val="006E5F95"/>
    <w:rsid w:val="006E6A20"/>
    <w:rsid w:val="006E6F6E"/>
    <w:rsid w:val="006E719C"/>
    <w:rsid w:val="006E71DD"/>
    <w:rsid w:val="006E7729"/>
    <w:rsid w:val="006F03D3"/>
    <w:rsid w:val="006F1529"/>
    <w:rsid w:val="006F19EE"/>
    <w:rsid w:val="006F212C"/>
    <w:rsid w:val="006F2300"/>
    <w:rsid w:val="006F2EFB"/>
    <w:rsid w:val="006F56E1"/>
    <w:rsid w:val="0070007C"/>
    <w:rsid w:val="007001F8"/>
    <w:rsid w:val="007009E6"/>
    <w:rsid w:val="007013D3"/>
    <w:rsid w:val="00701A35"/>
    <w:rsid w:val="007020A9"/>
    <w:rsid w:val="00702442"/>
    <w:rsid w:val="0070429F"/>
    <w:rsid w:val="0070538E"/>
    <w:rsid w:val="00706D2C"/>
    <w:rsid w:val="00706DA3"/>
    <w:rsid w:val="00707006"/>
    <w:rsid w:val="00710696"/>
    <w:rsid w:val="00710CF0"/>
    <w:rsid w:val="00710F54"/>
    <w:rsid w:val="0071119F"/>
    <w:rsid w:val="00711DC3"/>
    <w:rsid w:val="007129F7"/>
    <w:rsid w:val="00712AC6"/>
    <w:rsid w:val="00712FB3"/>
    <w:rsid w:val="0071331D"/>
    <w:rsid w:val="00713438"/>
    <w:rsid w:val="00713F1E"/>
    <w:rsid w:val="00714DB1"/>
    <w:rsid w:val="00714FC1"/>
    <w:rsid w:val="007158BA"/>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6E"/>
    <w:rsid w:val="007816A2"/>
    <w:rsid w:val="00781AC7"/>
    <w:rsid w:val="00781C2C"/>
    <w:rsid w:val="007825C7"/>
    <w:rsid w:val="007827DD"/>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A72"/>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1A32"/>
    <w:rsid w:val="007B1B28"/>
    <w:rsid w:val="007B2243"/>
    <w:rsid w:val="007B2434"/>
    <w:rsid w:val="007B2F5D"/>
    <w:rsid w:val="007B32B8"/>
    <w:rsid w:val="007B3FB6"/>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75EA"/>
    <w:rsid w:val="007D00C7"/>
    <w:rsid w:val="007D07AE"/>
    <w:rsid w:val="007D0A67"/>
    <w:rsid w:val="007D0AC7"/>
    <w:rsid w:val="007D1359"/>
    <w:rsid w:val="007D14B8"/>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3D98"/>
    <w:rsid w:val="007E42AC"/>
    <w:rsid w:val="007E48FF"/>
    <w:rsid w:val="007E5AA9"/>
    <w:rsid w:val="007E62D2"/>
    <w:rsid w:val="007E62DA"/>
    <w:rsid w:val="007E65AC"/>
    <w:rsid w:val="007E6F5C"/>
    <w:rsid w:val="007E7335"/>
    <w:rsid w:val="007E7836"/>
    <w:rsid w:val="007F062F"/>
    <w:rsid w:val="007F0E7C"/>
    <w:rsid w:val="007F156A"/>
    <w:rsid w:val="007F185B"/>
    <w:rsid w:val="007F2185"/>
    <w:rsid w:val="007F2275"/>
    <w:rsid w:val="007F2D13"/>
    <w:rsid w:val="007F2D8F"/>
    <w:rsid w:val="007F360C"/>
    <w:rsid w:val="007F392F"/>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1A44"/>
    <w:rsid w:val="008020F2"/>
    <w:rsid w:val="0080320A"/>
    <w:rsid w:val="0080372B"/>
    <w:rsid w:val="0080391B"/>
    <w:rsid w:val="00804777"/>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7503"/>
    <w:rsid w:val="008278B8"/>
    <w:rsid w:val="00830174"/>
    <w:rsid w:val="00830834"/>
    <w:rsid w:val="00830921"/>
    <w:rsid w:val="00830C2E"/>
    <w:rsid w:val="00831004"/>
    <w:rsid w:val="0083154F"/>
    <w:rsid w:val="00831707"/>
    <w:rsid w:val="008321AF"/>
    <w:rsid w:val="0083222C"/>
    <w:rsid w:val="00832C19"/>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364B"/>
    <w:rsid w:val="00853DC4"/>
    <w:rsid w:val="00855114"/>
    <w:rsid w:val="00855C15"/>
    <w:rsid w:val="00856003"/>
    <w:rsid w:val="00856B7D"/>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5B71"/>
    <w:rsid w:val="00866059"/>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05"/>
    <w:rsid w:val="00880489"/>
    <w:rsid w:val="008808F4"/>
    <w:rsid w:val="00880AB8"/>
    <w:rsid w:val="00880D6D"/>
    <w:rsid w:val="0088165C"/>
    <w:rsid w:val="00881ABF"/>
    <w:rsid w:val="00881D8D"/>
    <w:rsid w:val="00882BA8"/>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B4A"/>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C1E"/>
    <w:rsid w:val="008A501C"/>
    <w:rsid w:val="008A5E13"/>
    <w:rsid w:val="008A67AA"/>
    <w:rsid w:val="008A7D81"/>
    <w:rsid w:val="008B093B"/>
    <w:rsid w:val="008B0C82"/>
    <w:rsid w:val="008B13C1"/>
    <w:rsid w:val="008B1F69"/>
    <w:rsid w:val="008B2EDB"/>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B3E"/>
    <w:rsid w:val="008C48DA"/>
    <w:rsid w:val="008C4F75"/>
    <w:rsid w:val="008C5EE6"/>
    <w:rsid w:val="008C62CC"/>
    <w:rsid w:val="008C6973"/>
    <w:rsid w:val="008C697D"/>
    <w:rsid w:val="008C6B67"/>
    <w:rsid w:val="008C6B9F"/>
    <w:rsid w:val="008C6D7A"/>
    <w:rsid w:val="008C76D7"/>
    <w:rsid w:val="008D0567"/>
    <w:rsid w:val="008D0925"/>
    <w:rsid w:val="008D0CF6"/>
    <w:rsid w:val="008D1694"/>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1000A"/>
    <w:rsid w:val="00911841"/>
    <w:rsid w:val="00911D7B"/>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6BBD"/>
    <w:rsid w:val="00927CD8"/>
    <w:rsid w:val="00930099"/>
    <w:rsid w:val="00930399"/>
    <w:rsid w:val="00930CC7"/>
    <w:rsid w:val="00932093"/>
    <w:rsid w:val="0093215A"/>
    <w:rsid w:val="009321B1"/>
    <w:rsid w:val="00932642"/>
    <w:rsid w:val="0093287E"/>
    <w:rsid w:val="00932B72"/>
    <w:rsid w:val="00933089"/>
    <w:rsid w:val="0093428D"/>
    <w:rsid w:val="00934DE1"/>
    <w:rsid w:val="0093553D"/>
    <w:rsid w:val="00935D73"/>
    <w:rsid w:val="00935DC8"/>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373"/>
    <w:rsid w:val="009703E5"/>
    <w:rsid w:val="009704FF"/>
    <w:rsid w:val="00971301"/>
    <w:rsid w:val="009727AE"/>
    <w:rsid w:val="00973D54"/>
    <w:rsid w:val="00974E2C"/>
    <w:rsid w:val="0097566C"/>
    <w:rsid w:val="00975E7D"/>
    <w:rsid w:val="0097616B"/>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C6"/>
    <w:rsid w:val="00982B6B"/>
    <w:rsid w:val="009836F6"/>
    <w:rsid w:val="00983C15"/>
    <w:rsid w:val="0098447D"/>
    <w:rsid w:val="00984827"/>
    <w:rsid w:val="009849D0"/>
    <w:rsid w:val="00984BA5"/>
    <w:rsid w:val="00984E4F"/>
    <w:rsid w:val="00984FF6"/>
    <w:rsid w:val="009873A7"/>
    <w:rsid w:val="0098742A"/>
    <w:rsid w:val="009875C9"/>
    <w:rsid w:val="00990894"/>
    <w:rsid w:val="00990CB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7DA"/>
    <w:rsid w:val="009E3A0F"/>
    <w:rsid w:val="009E3D4B"/>
    <w:rsid w:val="009E428B"/>
    <w:rsid w:val="009E54DA"/>
    <w:rsid w:val="009E60C9"/>
    <w:rsid w:val="009E60F6"/>
    <w:rsid w:val="009E6759"/>
    <w:rsid w:val="009E6DAC"/>
    <w:rsid w:val="009E71F8"/>
    <w:rsid w:val="009E7517"/>
    <w:rsid w:val="009E7C3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3F91"/>
    <w:rsid w:val="00A0452C"/>
    <w:rsid w:val="00A04BAA"/>
    <w:rsid w:val="00A04D82"/>
    <w:rsid w:val="00A04F2A"/>
    <w:rsid w:val="00A0512D"/>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6792"/>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104B"/>
    <w:rsid w:val="00A61847"/>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D88"/>
    <w:rsid w:val="00A9409F"/>
    <w:rsid w:val="00A941D9"/>
    <w:rsid w:val="00A944C1"/>
    <w:rsid w:val="00A948A5"/>
    <w:rsid w:val="00A9600C"/>
    <w:rsid w:val="00A96047"/>
    <w:rsid w:val="00A96189"/>
    <w:rsid w:val="00A96736"/>
    <w:rsid w:val="00A967AC"/>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5F8A"/>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F85"/>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933"/>
    <w:rsid w:val="00AF2E97"/>
    <w:rsid w:val="00AF363B"/>
    <w:rsid w:val="00AF366B"/>
    <w:rsid w:val="00AF427D"/>
    <w:rsid w:val="00AF434B"/>
    <w:rsid w:val="00AF5CBA"/>
    <w:rsid w:val="00AF5DD2"/>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39EB"/>
    <w:rsid w:val="00B258BC"/>
    <w:rsid w:val="00B259A4"/>
    <w:rsid w:val="00B25DDF"/>
    <w:rsid w:val="00B25EE3"/>
    <w:rsid w:val="00B262C8"/>
    <w:rsid w:val="00B265EA"/>
    <w:rsid w:val="00B26AE1"/>
    <w:rsid w:val="00B270E7"/>
    <w:rsid w:val="00B27110"/>
    <w:rsid w:val="00B2765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872"/>
    <w:rsid w:val="00B41C94"/>
    <w:rsid w:val="00B41FAE"/>
    <w:rsid w:val="00B420A4"/>
    <w:rsid w:val="00B425B8"/>
    <w:rsid w:val="00B42867"/>
    <w:rsid w:val="00B42E1A"/>
    <w:rsid w:val="00B4352E"/>
    <w:rsid w:val="00B4393F"/>
    <w:rsid w:val="00B443DF"/>
    <w:rsid w:val="00B45164"/>
    <w:rsid w:val="00B451B4"/>
    <w:rsid w:val="00B46673"/>
    <w:rsid w:val="00B468FF"/>
    <w:rsid w:val="00B46B41"/>
    <w:rsid w:val="00B46F94"/>
    <w:rsid w:val="00B47087"/>
    <w:rsid w:val="00B47633"/>
    <w:rsid w:val="00B47DD8"/>
    <w:rsid w:val="00B521ED"/>
    <w:rsid w:val="00B52431"/>
    <w:rsid w:val="00B52B5D"/>
    <w:rsid w:val="00B52C19"/>
    <w:rsid w:val="00B5389E"/>
    <w:rsid w:val="00B54250"/>
    <w:rsid w:val="00B542CC"/>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1766"/>
    <w:rsid w:val="00B81F12"/>
    <w:rsid w:val="00B82D48"/>
    <w:rsid w:val="00B84543"/>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2DC3"/>
    <w:rsid w:val="00B932E5"/>
    <w:rsid w:val="00B936CB"/>
    <w:rsid w:val="00B9374E"/>
    <w:rsid w:val="00B941B6"/>
    <w:rsid w:val="00B94B0F"/>
    <w:rsid w:val="00B95BD5"/>
    <w:rsid w:val="00B95FA5"/>
    <w:rsid w:val="00B97A1D"/>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63B"/>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2D4"/>
    <w:rsid w:val="00BD3E0C"/>
    <w:rsid w:val="00BD49F1"/>
    <w:rsid w:val="00BD4DA3"/>
    <w:rsid w:val="00BD50BC"/>
    <w:rsid w:val="00BD5B15"/>
    <w:rsid w:val="00BD67CA"/>
    <w:rsid w:val="00BD7480"/>
    <w:rsid w:val="00BD7B35"/>
    <w:rsid w:val="00BE015E"/>
    <w:rsid w:val="00BE051C"/>
    <w:rsid w:val="00BE09B0"/>
    <w:rsid w:val="00BE1924"/>
    <w:rsid w:val="00BE1E2A"/>
    <w:rsid w:val="00BE23EC"/>
    <w:rsid w:val="00BE2829"/>
    <w:rsid w:val="00BE3198"/>
    <w:rsid w:val="00BE335E"/>
    <w:rsid w:val="00BE3590"/>
    <w:rsid w:val="00BE3BA2"/>
    <w:rsid w:val="00BE3BE5"/>
    <w:rsid w:val="00BE3C14"/>
    <w:rsid w:val="00BE4C38"/>
    <w:rsid w:val="00BE54E1"/>
    <w:rsid w:val="00BE5787"/>
    <w:rsid w:val="00BE5B33"/>
    <w:rsid w:val="00BE63C5"/>
    <w:rsid w:val="00BE6820"/>
    <w:rsid w:val="00BE6B31"/>
    <w:rsid w:val="00BE6FCA"/>
    <w:rsid w:val="00BE75E5"/>
    <w:rsid w:val="00BF082B"/>
    <w:rsid w:val="00BF0F44"/>
    <w:rsid w:val="00BF1825"/>
    <w:rsid w:val="00BF2602"/>
    <w:rsid w:val="00BF2B97"/>
    <w:rsid w:val="00BF2C5F"/>
    <w:rsid w:val="00BF2E0A"/>
    <w:rsid w:val="00BF3925"/>
    <w:rsid w:val="00BF3C2F"/>
    <w:rsid w:val="00BF41A9"/>
    <w:rsid w:val="00BF4325"/>
    <w:rsid w:val="00BF4E62"/>
    <w:rsid w:val="00BF50CD"/>
    <w:rsid w:val="00BF58BD"/>
    <w:rsid w:val="00BF64F7"/>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82D"/>
    <w:rsid w:val="00C25DEA"/>
    <w:rsid w:val="00C25FB1"/>
    <w:rsid w:val="00C264F4"/>
    <w:rsid w:val="00C26838"/>
    <w:rsid w:val="00C26C05"/>
    <w:rsid w:val="00C26DE8"/>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CD7"/>
    <w:rsid w:val="00C53F91"/>
    <w:rsid w:val="00C54A49"/>
    <w:rsid w:val="00C54D83"/>
    <w:rsid w:val="00C551B4"/>
    <w:rsid w:val="00C555D7"/>
    <w:rsid w:val="00C55E12"/>
    <w:rsid w:val="00C55FB5"/>
    <w:rsid w:val="00C56833"/>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67C7C"/>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790"/>
    <w:rsid w:val="00CC5B9F"/>
    <w:rsid w:val="00CC5C3D"/>
    <w:rsid w:val="00CC7D56"/>
    <w:rsid w:val="00CD043A"/>
    <w:rsid w:val="00CD0B82"/>
    <w:rsid w:val="00CD121D"/>
    <w:rsid w:val="00CD1BA4"/>
    <w:rsid w:val="00CD1E2B"/>
    <w:rsid w:val="00CD230E"/>
    <w:rsid w:val="00CD2673"/>
    <w:rsid w:val="00CD2723"/>
    <w:rsid w:val="00CD2988"/>
    <w:rsid w:val="00CD35B9"/>
    <w:rsid w:val="00CD39E1"/>
    <w:rsid w:val="00CD487D"/>
    <w:rsid w:val="00CD4F7F"/>
    <w:rsid w:val="00CD556A"/>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C88"/>
    <w:rsid w:val="00D00CE3"/>
    <w:rsid w:val="00D01B00"/>
    <w:rsid w:val="00D02545"/>
    <w:rsid w:val="00D04419"/>
    <w:rsid w:val="00D046E4"/>
    <w:rsid w:val="00D048DA"/>
    <w:rsid w:val="00D04BF2"/>
    <w:rsid w:val="00D063DA"/>
    <w:rsid w:val="00D06A04"/>
    <w:rsid w:val="00D06DA2"/>
    <w:rsid w:val="00D07353"/>
    <w:rsid w:val="00D07502"/>
    <w:rsid w:val="00D1016C"/>
    <w:rsid w:val="00D107E8"/>
    <w:rsid w:val="00D10FF4"/>
    <w:rsid w:val="00D11AB4"/>
    <w:rsid w:val="00D125D9"/>
    <w:rsid w:val="00D12925"/>
    <w:rsid w:val="00D129FC"/>
    <w:rsid w:val="00D134B7"/>
    <w:rsid w:val="00D13A03"/>
    <w:rsid w:val="00D13D7F"/>
    <w:rsid w:val="00D14FB7"/>
    <w:rsid w:val="00D1500C"/>
    <w:rsid w:val="00D150F8"/>
    <w:rsid w:val="00D15139"/>
    <w:rsid w:val="00D15BE8"/>
    <w:rsid w:val="00D16208"/>
    <w:rsid w:val="00D16A87"/>
    <w:rsid w:val="00D17021"/>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58AC"/>
    <w:rsid w:val="00D56289"/>
    <w:rsid w:val="00D567D0"/>
    <w:rsid w:val="00D56D33"/>
    <w:rsid w:val="00D57735"/>
    <w:rsid w:val="00D57FE6"/>
    <w:rsid w:val="00D6006B"/>
    <w:rsid w:val="00D6014F"/>
    <w:rsid w:val="00D60D5F"/>
    <w:rsid w:val="00D61A0C"/>
    <w:rsid w:val="00D62530"/>
    <w:rsid w:val="00D62EC7"/>
    <w:rsid w:val="00D65CEF"/>
    <w:rsid w:val="00D66097"/>
    <w:rsid w:val="00D665FB"/>
    <w:rsid w:val="00D66DDC"/>
    <w:rsid w:val="00D671DE"/>
    <w:rsid w:val="00D67288"/>
    <w:rsid w:val="00D67BFE"/>
    <w:rsid w:val="00D67D2A"/>
    <w:rsid w:val="00D7058E"/>
    <w:rsid w:val="00D70D7D"/>
    <w:rsid w:val="00D7145E"/>
    <w:rsid w:val="00D71B6B"/>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533"/>
    <w:rsid w:val="00D92737"/>
    <w:rsid w:val="00D92F2E"/>
    <w:rsid w:val="00D93B33"/>
    <w:rsid w:val="00D97183"/>
    <w:rsid w:val="00DA019B"/>
    <w:rsid w:val="00DA033B"/>
    <w:rsid w:val="00DA03A9"/>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B089A"/>
    <w:rsid w:val="00DB14DA"/>
    <w:rsid w:val="00DB1BDD"/>
    <w:rsid w:val="00DB3144"/>
    <w:rsid w:val="00DB367A"/>
    <w:rsid w:val="00DB3FA0"/>
    <w:rsid w:val="00DB45FD"/>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FEC"/>
    <w:rsid w:val="00DE7F80"/>
    <w:rsid w:val="00DF06E8"/>
    <w:rsid w:val="00DF1658"/>
    <w:rsid w:val="00DF1AFE"/>
    <w:rsid w:val="00DF2E95"/>
    <w:rsid w:val="00DF352D"/>
    <w:rsid w:val="00DF3FAA"/>
    <w:rsid w:val="00DF4894"/>
    <w:rsid w:val="00DF526F"/>
    <w:rsid w:val="00DF6639"/>
    <w:rsid w:val="00DF6B35"/>
    <w:rsid w:val="00E00029"/>
    <w:rsid w:val="00E00559"/>
    <w:rsid w:val="00E01B84"/>
    <w:rsid w:val="00E0350C"/>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BA1"/>
    <w:rsid w:val="00E30C96"/>
    <w:rsid w:val="00E311C9"/>
    <w:rsid w:val="00E31B22"/>
    <w:rsid w:val="00E33485"/>
    <w:rsid w:val="00E3361A"/>
    <w:rsid w:val="00E339CA"/>
    <w:rsid w:val="00E340FD"/>
    <w:rsid w:val="00E34291"/>
    <w:rsid w:val="00E34BD7"/>
    <w:rsid w:val="00E35269"/>
    <w:rsid w:val="00E3538D"/>
    <w:rsid w:val="00E35657"/>
    <w:rsid w:val="00E3577E"/>
    <w:rsid w:val="00E35EDA"/>
    <w:rsid w:val="00E37F64"/>
    <w:rsid w:val="00E37F66"/>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02A"/>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E41"/>
    <w:rsid w:val="00E9505B"/>
    <w:rsid w:val="00E9518F"/>
    <w:rsid w:val="00E95C2A"/>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4071"/>
    <w:rsid w:val="00EA438F"/>
    <w:rsid w:val="00EA498C"/>
    <w:rsid w:val="00EA548E"/>
    <w:rsid w:val="00EA5804"/>
    <w:rsid w:val="00EA633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332E"/>
    <w:rsid w:val="00ED414A"/>
    <w:rsid w:val="00ED45C2"/>
    <w:rsid w:val="00ED5512"/>
    <w:rsid w:val="00ED5900"/>
    <w:rsid w:val="00ED59FE"/>
    <w:rsid w:val="00ED5C63"/>
    <w:rsid w:val="00ED7171"/>
    <w:rsid w:val="00ED75D5"/>
    <w:rsid w:val="00ED7F9D"/>
    <w:rsid w:val="00EE050F"/>
    <w:rsid w:val="00EE0841"/>
    <w:rsid w:val="00EE1034"/>
    <w:rsid w:val="00EE132A"/>
    <w:rsid w:val="00EE13E0"/>
    <w:rsid w:val="00EE1880"/>
    <w:rsid w:val="00EE1AA1"/>
    <w:rsid w:val="00EE1AEB"/>
    <w:rsid w:val="00EE2D7C"/>
    <w:rsid w:val="00EE2E11"/>
    <w:rsid w:val="00EE3A1B"/>
    <w:rsid w:val="00EE3F4E"/>
    <w:rsid w:val="00EE4179"/>
    <w:rsid w:val="00EE45C2"/>
    <w:rsid w:val="00EE475D"/>
    <w:rsid w:val="00EE4FCC"/>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A99"/>
    <w:rsid w:val="00F11E9D"/>
    <w:rsid w:val="00F12BAA"/>
    <w:rsid w:val="00F13034"/>
    <w:rsid w:val="00F13D79"/>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250"/>
    <w:rsid w:val="00F2604E"/>
    <w:rsid w:val="00F26CF6"/>
    <w:rsid w:val="00F27236"/>
    <w:rsid w:val="00F27406"/>
    <w:rsid w:val="00F27FF0"/>
    <w:rsid w:val="00F30161"/>
    <w:rsid w:val="00F30888"/>
    <w:rsid w:val="00F31336"/>
    <w:rsid w:val="00F3291E"/>
    <w:rsid w:val="00F32CAC"/>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14CF"/>
    <w:rsid w:val="00F6155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03F"/>
    <w:rsid w:val="00F7344E"/>
    <w:rsid w:val="00F73540"/>
    <w:rsid w:val="00F7383F"/>
    <w:rsid w:val="00F7445A"/>
    <w:rsid w:val="00F7452D"/>
    <w:rsid w:val="00F74E2C"/>
    <w:rsid w:val="00F759C0"/>
    <w:rsid w:val="00F75BBA"/>
    <w:rsid w:val="00F75DCF"/>
    <w:rsid w:val="00F75E77"/>
    <w:rsid w:val="00F7600F"/>
    <w:rsid w:val="00F77A33"/>
    <w:rsid w:val="00F8014C"/>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1226</TotalTime>
  <Pages>3</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116</cp:revision>
  <dcterms:created xsi:type="dcterms:W3CDTF">2022-04-25T17:33:00Z</dcterms:created>
  <dcterms:modified xsi:type="dcterms:W3CDTF">2022-08-10T20:22:00Z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